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428" w:rsidRDefault="00D85428">
      <w:pPr>
        <w:widowControl/>
        <w:spacing w:line="360" w:lineRule="auto"/>
        <w:ind w:firstLine="480"/>
        <w:rPr>
          <w:rFonts w:ascii="仿宋" w:eastAsia="仿宋" w:hAnsi="仿宋" w:cs="Tahoma"/>
          <w:color w:val="000000" w:themeColor="text1"/>
          <w:kern w:val="0"/>
          <w:sz w:val="32"/>
          <w:szCs w:val="32"/>
        </w:rPr>
      </w:pPr>
    </w:p>
    <w:p w:rsidR="00D85428" w:rsidRPr="001E2A7C" w:rsidRDefault="008500B5">
      <w:pPr>
        <w:widowControl/>
        <w:adjustRightInd w:val="0"/>
        <w:snapToGrid w:val="0"/>
        <w:spacing w:line="360" w:lineRule="auto"/>
        <w:jc w:val="center"/>
        <w:outlineLvl w:val="0"/>
        <w:rPr>
          <w:rFonts w:ascii="仿宋" w:eastAsia="仿宋" w:hAnsi="仿宋"/>
          <w:b/>
          <w:color w:val="000000" w:themeColor="text1"/>
          <w:kern w:val="0"/>
          <w:sz w:val="32"/>
          <w:szCs w:val="32"/>
        </w:rPr>
      </w:pPr>
      <w:r w:rsidRPr="001E2A7C">
        <w:rPr>
          <w:rFonts w:ascii="仿宋" w:eastAsia="仿宋" w:hAnsi="仿宋" w:hint="eastAsia"/>
          <w:b/>
          <w:color w:val="000000" w:themeColor="text1"/>
          <w:kern w:val="0"/>
          <w:sz w:val="32"/>
          <w:szCs w:val="32"/>
        </w:rPr>
        <w:t>上海外国语大学本科课程建设管理办法</w:t>
      </w:r>
    </w:p>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第一章</w:t>
      </w:r>
      <w:r w:rsidRPr="001E2A7C">
        <w:rPr>
          <w:rFonts w:ascii="仿宋" w:eastAsia="仿宋" w:hAnsi="仿宋"/>
          <w:b/>
          <w:color w:val="000000" w:themeColor="text1"/>
          <w:spacing w:val="-8"/>
          <w:kern w:val="0"/>
          <w:sz w:val="30"/>
          <w:szCs w:val="30"/>
        </w:rPr>
        <w:t xml:space="preserve">  </w:t>
      </w:r>
      <w:r w:rsidRPr="001E2A7C">
        <w:rPr>
          <w:rFonts w:ascii="仿宋" w:eastAsia="仿宋" w:hAnsi="仿宋" w:hint="eastAsia"/>
          <w:b/>
          <w:color w:val="000000" w:themeColor="text1"/>
          <w:spacing w:val="-8"/>
          <w:kern w:val="0"/>
          <w:sz w:val="30"/>
          <w:szCs w:val="30"/>
        </w:rPr>
        <w:t>总  则</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第一条</w:t>
      </w:r>
      <w:r w:rsidRPr="001E2A7C">
        <w:rPr>
          <w:rFonts w:ascii="仿宋" w:eastAsia="仿宋" w:hAnsi="仿宋"/>
          <w:color w:val="000000" w:themeColor="text1"/>
          <w:spacing w:val="-8"/>
          <w:kern w:val="0"/>
          <w:sz w:val="30"/>
          <w:szCs w:val="30"/>
        </w:rPr>
        <w:t xml:space="preserve">  </w:t>
      </w:r>
      <w:r w:rsidRPr="001E2A7C">
        <w:rPr>
          <w:rFonts w:ascii="仿宋" w:eastAsia="仿宋" w:hAnsi="仿宋" w:hint="eastAsia"/>
          <w:color w:val="000000" w:themeColor="text1"/>
          <w:spacing w:val="-8"/>
          <w:kern w:val="0"/>
          <w:sz w:val="30"/>
          <w:szCs w:val="30"/>
        </w:rPr>
        <w:t>课程建设是本科教学建设的主要内容，是专业建设的基础，也是学校教学改革的基本任务。为全面落实《统筹推进世界一流大学和一流学科建设总体方案》和新时代全国高等学校本科教育工作会议、全国教育大会精神，进一步推动学校课程建设工作，使课程建设工作更为科学规范、有序合理、有据可依，提高学校办学水平和人才培养质量</w:t>
      </w:r>
      <w:r w:rsidRPr="001E2A7C">
        <w:rPr>
          <w:rFonts w:ascii="仿宋" w:eastAsia="仿宋" w:hAnsi="仿宋"/>
          <w:color w:val="000000" w:themeColor="text1"/>
          <w:spacing w:val="-8"/>
          <w:kern w:val="0"/>
          <w:sz w:val="30"/>
          <w:szCs w:val="30"/>
        </w:rPr>
        <w:t>，</w:t>
      </w:r>
      <w:r w:rsidRPr="001E2A7C">
        <w:rPr>
          <w:rFonts w:ascii="仿宋" w:eastAsia="仿宋" w:hAnsi="仿宋" w:hint="eastAsia"/>
          <w:color w:val="000000" w:themeColor="text1"/>
          <w:spacing w:val="-8"/>
          <w:kern w:val="0"/>
          <w:sz w:val="30"/>
          <w:szCs w:val="30"/>
        </w:rPr>
        <w:t>根据《上海外国语大学一流本科教学建设项目管理办法》，结合我校实际，特制订本办法。</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第二条</w:t>
      </w:r>
      <w:r w:rsidRPr="001E2A7C">
        <w:rPr>
          <w:rFonts w:ascii="仿宋" w:eastAsia="仿宋" w:hAnsi="仿宋" w:hint="eastAsia"/>
          <w:color w:val="000000" w:themeColor="text1"/>
          <w:spacing w:val="-8"/>
          <w:kern w:val="0"/>
          <w:sz w:val="30"/>
          <w:szCs w:val="30"/>
        </w:rPr>
        <w:t xml:space="preserve"> 课程建设的基本任务是以人才培养目标为依据，按照课程的学科性质和任务，逐步完善和优化课程建设的相关要素，强化知识传授和能力培养系统，建立课程建设与改革的良性机制。</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第三条</w:t>
      </w:r>
      <w:r w:rsidRPr="001E2A7C">
        <w:rPr>
          <w:rFonts w:ascii="仿宋" w:eastAsia="仿宋" w:hAnsi="仿宋" w:hint="eastAsia"/>
          <w:color w:val="000000" w:themeColor="text1"/>
          <w:spacing w:val="-8"/>
          <w:kern w:val="0"/>
          <w:sz w:val="30"/>
          <w:szCs w:val="30"/>
        </w:rPr>
        <w:t xml:space="preserve"> 课程建设依据自主规划、分类建设、突出重点、提高质量的原则，建设一批有特色的、适应高等教育发展的，符合学校办学理念、办学使命和办学战略的课程，建立起国家级、上海市级、校级三级精品课程体系，推动全校教育教学改革的发展和教学质量的全面提升。</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 xml:space="preserve">第四条 </w:t>
      </w:r>
      <w:r w:rsidRPr="001E2A7C">
        <w:rPr>
          <w:rFonts w:ascii="仿宋" w:eastAsia="仿宋" w:hAnsi="仿宋" w:hint="eastAsia"/>
          <w:color w:val="000000" w:themeColor="text1"/>
          <w:spacing w:val="-8"/>
          <w:kern w:val="0"/>
          <w:sz w:val="30"/>
          <w:szCs w:val="30"/>
        </w:rPr>
        <w:t>课程建设工作以各二级单位为实施主体，各二级单位在学校统一规划、组织和管理下负责本单位的课程建设工作，充分发挥其在项目规划、建设、管理和实施中的主体作用。</w:t>
      </w:r>
    </w:p>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bookmarkStart w:id="0" w:name="OLE_LINK1"/>
      <w:r w:rsidRPr="001E2A7C">
        <w:rPr>
          <w:rFonts w:ascii="仿宋" w:eastAsia="仿宋" w:hAnsi="仿宋" w:hint="eastAsia"/>
          <w:b/>
          <w:color w:val="000000" w:themeColor="text1"/>
          <w:spacing w:val="-8"/>
          <w:kern w:val="0"/>
          <w:sz w:val="30"/>
          <w:szCs w:val="30"/>
        </w:rPr>
        <w:t>第二章</w:t>
      </w:r>
      <w:r w:rsidRPr="001E2A7C">
        <w:rPr>
          <w:rFonts w:ascii="仿宋" w:eastAsia="仿宋" w:hAnsi="仿宋"/>
          <w:b/>
          <w:color w:val="000000" w:themeColor="text1"/>
          <w:spacing w:val="-8"/>
          <w:kern w:val="0"/>
          <w:sz w:val="30"/>
          <w:szCs w:val="30"/>
        </w:rPr>
        <w:t xml:space="preserve">  </w:t>
      </w:r>
      <w:r w:rsidRPr="001E2A7C">
        <w:rPr>
          <w:rFonts w:ascii="仿宋" w:eastAsia="仿宋" w:hAnsi="仿宋" w:hint="eastAsia"/>
          <w:b/>
          <w:color w:val="000000" w:themeColor="text1"/>
          <w:spacing w:val="-8"/>
          <w:kern w:val="0"/>
          <w:sz w:val="30"/>
          <w:szCs w:val="30"/>
        </w:rPr>
        <w:t>建设层次和类别</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lastRenderedPageBreak/>
        <w:t>第五条</w:t>
      </w:r>
      <w:r w:rsidRPr="001E2A7C">
        <w:rPr>
          <w:rFonts w:ascii="仿宋" w:eastAsia="仿宋" w:hAnsi="仿宋" w:hint="eastAsia"/>
          <w:color w:val="000000" w:themeColor="text1"/>
          <w:spacing w:val="-8"/>
          <w:kern w:val="0"/>
          <w:sz w:val="30"/>
          <w:szCs w:val="30"/>
        </w:rPr>
        <w:t xml:space="preserve">  根据不同的建设目标和建设重点，校级课程建设项目分为精品课程建设项目和一般课程建设项目两个层次，若干专项类别。课程建设类别主要包括：通识教育核心课程、课程思政专项、在线课程专项、全</w:t>
      </w:r>
      <w:r w:rsidR="00CC0F84">
        <w:rPr>
          <w:rFonts w:ascii="仿宋" w:eastAsia="仿宋" w:hAnsi="仿宋" w:hint="eastAsia"/>
          <w:color w:val="000000" w:themeColor="text1"/>
          <w:spacing w:val="-8"/>
          <w:kern w:val="0"/>
          <w:sz w:val="30"/>
          <w:szCs w:val="30"/>
        </w:rPr>
        <w:t>外</w:t>
      </w:r>
      <w:r w:rsidRPr="001E2A7C">
        <w:rPr>
          <w:rFonts w:ascii="仿宋" w:eastAsia="仿宋" w:hAnsi="仿宋" w:hint="eastAsia"/>
          <w:color w:val="000000" w:themeColor="text1"/>
          <w:spacing w:val="-8"/>
          <w:kern w:val="0"/>
          <w:sz w:val="30"/>
          <w:szCs w:val="30"/>
        </w:rPr>
        <w:t>语课程专项、创新创业课程专项、大类平台课程、专业核心课程、专业方向课程等。</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 xml:space="preserve">第六条  </w:t>
      </w:r>
      <w:r w:rsidRPr="001E2A7C">
        <w:rPr>
          <w:rFonts w:ascii="仿宋" w:eastAsia="仿宋" w:hAnsi="仿宋" w:hint="eastAsia"/>
          <w:color w:val="000000" w:themeColor="text1"/>
          <w:spacing w:val="-8"/>
          <w:kern w:val="0"/>
          <w:sz w:val="30"/>
          <w:szCs w:val="30"/>
        </w:rPr>
        <w:t>学校重点支持</w:t>
      </w:r>
      <w:r w:rsidRPr="001E2A7C">
        <w:rPr>
          <w:rFonts w:ascii="仿宋" w:eastAsia="仿宋" w:hAnsi="仿宋" w:hint="eastAsia"/>
          <w:spacing w:val="-8"/>
          <w:kern w:val="0"/>
          <w:sz w:val="30"/>
          <w:szCs w:val="30"/>
        </w:rPr>
        <w:t>、</w:t>
      </w:r>
      <w:r w:rsidRPr="001E2A7C">
        <w:rPr>
          <w:rFonts w:ascii="仿宋" w:eastAsia="仿宋" w:hAnsi="仿宋" w:hint="eastAsia"/>
          <w:color w:val="000000" w:themeColor="text1"/>
          <w:spacing w:val="-8"/>
          <w:kern w:val="0"/>
          <w:sz w:val="30"/>
          <w:szCs w:val="30"/>
        </w:rPr>
        <w:t>重点建设精品课程，旨在整合各专业基础课程、专业核心课程及学校其他重点建设课程的教学成果</w:t>
      </w:r>
      <w:r w:rsidRPr="001E2A7C">
        <w:rPr>
          <w:rFonts w:ascii="仿宋" w:eastAsia="仿宋" w:hAnsi="仿宋" w:hint="eastAsia"/>
          <w:spacing w:val="-8"/>
          <w:kern w:val="0"/>
          <w:sz w:val="30"/>
          <w:szCs w:val="30"/>
        </w:rPr>
        <w:t>，</w:t>
      </w:r>
      <w:r w:rsidRPr="001E2A7C">
        <w:rPr>
          <w:rFonts w:ascii="仿宋" w:eastAsia="仿宋" w:hAnsi="仿宋" w:hint="eastAsia"/>
          <w:color w:val="000000" w:themeColor="text1"/>
          <w:spacing w:val="-8"/>
          <w:kern w:val="0"/>
          <w:sz w:val="30"/>
          <w:szCs w:val="30"/>
        </w:rPr>
        <w:t>树立优秀教学典型，发挥优秀课程的示范引领作用，推动全校教育教学改革的发展。</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 xml:space="preserve">第七条  </w:t>
      </w:r>
      <w:r w:rsidRPr="001E2A7C">
        <w:rPr>
          <w:rFonts w:ascii="仿宋" w:eastAsia="仿宋" w:hAnsi="仿宋" w:hint="eastAsia"/>
          <w:color w:val="000000" w:themeColor="text1"/>
          <w:spacing w:val="-8"/>
          <w:kern w:val="0"/>
          <w:sz w:val="30"/>
          <w:szCs w:val="30"/>
        </w:rPr>
        <w:t>一般课程建设是学校课程建设中的重要基础性工作，以全面保障本科教学课程质量为前提，旨在不断丰富和完善课程资源，培育优质校本教材，构建学校“多语种+”课程体系，并将优秀的专业基础课程和专业核心课程培育建成校级精品课程。</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 xml:space="preserve">第八条  </w:t>
      </w:r>
      <w:r w:rsidRPr="001E2A7C">
        <w:rPr>
          <w:rFonts w:ascii="仿宋" w:eastAsia="仿宋" w:hAnsi="仿宋" w:hint="eastAsia"/>
          <w:color w:val="000000" w:themeColor="text1"/>
          <w:spacing w:val="-8"/>
          <w:kern w:val="0"/>
          <w:sz w:val="30"/>
          <w:szCs w:val="30"/>
        </w:rPr>
        <w:t>学校依据每年工作重点和教育教学改革方向确定当年课程建设项目类别及其主要建设内容和建设重点。</w:t>
      </w:r>
      <w:r w:rsidR="00C37B98" w:rsidRPr="001E2A7C">
        <w:rPr>
          <w:rFonts w:ascii="仿宋" w:eastAsia="仿宋" w:hAnsi="仿宋" w:hint="eastAsia"/>
          <w:color w:val="000000" w:themeColor="text1"/>
          <w:spacing w:val="-8"/>
          <w:kern w:val="0"/>
          <w:sz w:val="30"/>
          <w:szCs w:val="30"/>
        </w:rPr>
        <w:t>各二级单位可在年度课程建设项目额度内自主立项各类</w:t>
      </w:r>
      <w:r w:rsidRPr="001E2A7C">
        <w:rPr>
          <w:rFonts w:ascii="仿宋" w:eastAsia="仿宋" w:hAnsi="仿宋" w:hint="eastAsia"/>
          <w:color w:val="000000" w:themeColor="text1"/>
          <w:spacing w:val="-8"/>
          <w:kern w:val="0"/>
          <w:sz w:val="30"/>
          <w:szCs w:val="30"/>
        </w:rPr>
        <w:t>课程，各类课程均可申报精品课程建设项目和一般课程建设项目。</w:t>
      </w:r>
    </w:p>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r w:rsidRPr="001E2A7C">
        <w:rPr>
          <w:rFonts w:ascii="仿宋" w:eastAsia="仿宋" w:hAnsi="仿宋"/>
          <w:b/>
          <w:color w:val="000000" w:themeColor="text1"/>
          <w:spacing w:val="-8"/>
          <w:kern w:val="0"/>
          <w:sz w:val="30"/>
          <w:szCs w:val="30"/>
        </w:rPr>
        <w:t>第</w:t>
      </w:r>
      <w:r w:rsidRPr="001E2A7C">
        <w:rPr>
          <w:rFonts w:ascii="仿宋" w:eastAsia="仿宋" w:hAnsi="仿宋" w:hint="eastAsia"/>
          <w:b/>
          <w:color w:val="000000" w:themeColor="text1"/>
          <w:spacing w:val="-8"/>
          <w:kern w:val="0"/>
          <w:sz w:val="30"/>
          <w:szCs w:val="30"/>
        </w:rPr>
        <w:t>三</w:t>
      </w:r>
      <w:r w:rsidRPr="001E2A7C">
        <w:rPr>
          <w:rFonts w:ascii="仿宋" w:eastAsia="仿宋" w:hAnsi="仿宋"/>
          <w:b/>
          <w:color w:val="000000" w:themeColor="text1"/>
          <w:spacing w:val="-8"/>
          <w:kern w:val="0"/>
          <w:sz w:val="30"/>
          <w:szCs w:val="30"/>
        </w:rPr>
        <w:t xml:space="preserve">章　</w:t>
      </w:r>
      <w:r w:rsidRPr="001E2A7C">
        <w:rPr>
          <w:rFonts w:ascii="仿宋" w:eastAsia="仿宋" w:hAnsi="仿宋" w:hint="eastAsia"/>
          <w:b/>
          <w:color w:val="000000" w:themeColor="text1"/>
          <w:spacing w:val="-8"/>
          <w:kern w:val="0"/>
          <w:sz w:val="30"/>
          <w:szCs w:val="30"/>
        </w:rPr>
        <w:t>项目申报</w:t>
      </w:r>
    </w:p>
    <w:p w:rsidR="00D85428" w:rsidRPr="001E2A7C" w:rsidRDefault="008500B5">
      <w:pPr>
        <w:widowControl/>
        <w:adjustRightInd w:val="0"/>
        <w:snapToGrid w:val="0"/>
        <w:spacing w:line="360" w:lineRule="auto"/>
        <w:ind w:firstLineChars="200" w:firstLine="602"/>
        <w:rPr>
          <w:rFonts w:ascii="仿宋" w:eastAsia="仿宋" w:hAnsi="仿宋" w:cs="宋体"/>
          <w:snapToGrid w:val="0"/>
          <w:color w:val="000000" w:themeColor="text1"/>
          <w:kern w:val="0"/>
          <w:sz w:val="30"/>
          <w:szCs w:val="30"/>
        </w:rPr>
      </w:pPr>
      <w:r w:rsidRPr="001E2A7C">
        <w:rPr>
          <w:rFonts w:ascii="仿宋" w:eastAsia="仿宋" w:hAnsi="仿宋" w:cs="宋体" w:hint="eastAsia"/>
          <w:b/>
          <w:snapToGrid w:val="0"/>
          <w:color w:val="000000" w:themeColor="text1"/>
          <w:kern w:val="0"/>
          <w:sz w:val="30"/>
          <w:szCs w:val="30"/>
        </w:rPr>
        <w:t xml:space="preserve">第九条 </w:t>
      </w:r>
      <w:r w:rsidRPr="001E2A7C">
        <w:rPr>
          <w:rFonts w:ascii="仿宋" w:eastAsia="仿宋" w:hAnsi="仿宋" w:cs="宋体" w:hint="eastAsia"/>
          <w:snapToGrid w:val="0"/>
          <w:color w:val="000000" w:themeColor="text1"/>
          <w:kern w:val="0"/>
          <w:sz w:val="30"/>
          <w:szCs w:val="30"/>
        </w:rPr>
        <w:t>申报条件</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（一）精品课程</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1．申报课程原则上由学术水平高、教学经验丰富、具有高级职称的我校教师担任课程负责人，每门课程的主讲教师不少于</w:t>
      </w:r>
      <w:r w:rsidRPr="001E2A7C">
        <w:rPr>
          <w:rFonts w:ascii="仿宋" w:eastAsia="仿宋" w:hAnsi="仿宋" w:cs="宋体" w:hint="eastAsia"/>
          <w:snapToGrid w:val="0"/>
          <w:color w:val="000000" w:themeColor="text1"/>
          <w:kern w:val="0"/>
          <w:sz w:val="30"/>
          <w:szCs w:val="30"/>
        </w:rPr>
        <w:lastRenderedPageBreak/>
        <w:t>3人（包括课程负责人），数量应满足教学需要，结构要合理，如有实验课要求，应配备一定的实验教师。</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2．申报课程应有较高水平的系列化教材，包括教科书、教学参考书和习题（教学案例）集。</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3．申报课程应具有一定的教学改革与研究成果（指教改教研论文、教改项目和教学成果），在较大范围和程度上应用现代教育技术，能使用网络进行教学与管理，且相关的课程简介、教师介绍、教学大纲、教案、教学日历、习题库（案例库）、实验指导、参考文献目录等具备上网条件。</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4．申报课程应有相应的教学改革和课程建设方案，教学内容和课程体系改革要</w:t>
      </w:r>
      <w:r w:rsidRPr="001E2A7C">
        <w:rPr>
          <w:rFonts w:ascii="仿宋" w:eastAsia="仿宋" w:hAnsi="仿宋" w:cs="宋体" w:hint="eastAsia"/>
          <w:snapToGrid w:val="0"/>
          <w:kern w:val="0"/>
          <w:sz w:val="30"/>
          <w:szCs w:val="30"/>
        </w:rPr>
        <w:t>紧跟</w:t>
      </w:r>
      <w:r w:rsidRPr="001E2A7C">
        <w:rPr>
          <w:rFonts w:ascii="仿宋" w:eastAsia="仿宋" w:hAnsi="仿宋" w:cs="宋体" w:hint="eastAsia"/>
          <w:snapToGrid w:val="0"/>
          <w:color w:val="000000" w:themeColor="text1"/>
          <w:kern w:val="0"/>
          <w:sz w:val="30"/>
          <w:szCs w:val="30"/>
        </w:rPr>
        <w:t>学科和社会发展的实际，具有科学性、先进性、可行性。实验（实践）教学课程要有实验（实践）教学大纲，实验指导书（实践任务书），能开设一定数量的综合性、设计性实验，并且开放实验室。</w:t>
      </w:r>
    </w:p>
    <w:p w:rsidR="00D85428" w:rsidRPr="001E2A7C" w:rsidRDefault="008500B5">
      <w:pPr>
        <w:widowControl/>
        <w:adjustRightInd w:val="0"/>
        <w:snapToGrid w:val="0"/>
        <w:spacing w:line="360" w:lineRule="auto"/>
        <w:ind w:firstLineChars="200" w:firstLine="600"/>
        <w:rPr>
          <w:rFonts w:ascii="仿宋" w:eastAsia="仿宋" w:hAnsi="仿宋" w:cs="宋体"/>
          <w:color w:val="000000" w:themeColor="text1"/>
          <w:kern w:val="0"/>
          <w:sz w:val="30"/>
          <w:szCs w:val="30"/>
        </w:rPr>
      </w:pPr>
      <w:r w:rsidRPr="001E2A7C">
        <w:rPr>
          <w:rFonts w:ascii="仿宋" w:eastAsia="仿宋" w:hAnsi="仿宋" w:cs="宋体" w:hint="eastAsia"/>
          <w:snapToGrid w:val="0"/>
          <w:color w:val="000000" w:themeColor="text1"/>
          <w:kern w:val="0"/>
          <w:sz w:val="30"/>
          <w:szCs w:val="30"/>
        </w:rPr>
        <w:t>（二）一般课程</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1．申报课程应由我校教师担任课程负责人，申报人应注重教学研究，在教学内容、教学方法、考试方法、教学改革、因材施教、素质培养、教书育人等方面有措施、有行动。如有实验课要求，应配备一定的实验教师。</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2</w:t>
      </w:r>
      <w:r w:rsidR="00C37B98" w:rsidRPr="001E2A7C">
        <w:rPr>
          <w:rFonts w:ascii="仿宋" w:eastAsia="仿宋" w:hAnsi="仿宋" w:cs="宋体" w:hint="eastAsia"/>
          <w:snapToGrid w:val="0"/>
          <w:color w:val="000000" w:themeColor="text1"/>
          <w:kern w:val="0"/>
          <w:sz w:val="30"/>
          <w:szCs w:val="30"/>
        </w:rPr>
        <w:t>．申报课程应选用或将编撰合适的教材和教学参考书</w:t>
      </w:r>
      <w:r w:rsidRPr="001E2A7C">
        <w:rPr>
          <w:rFonts w:ascii="仿宋" w:eastAsia="仿宋" w:hAnsi="仿宋" w:cs="宋体" w:hint="eastAsia"/>
          <w:snapToGrid w:val="0"/>
          <w:color w:val="000000" w:themeColor="text1"/>
          <w:kern w:val="0"/>
          <w:sz w:val="30"/>
          <w:szCs w:val="30"/>
        </w:rPr>
        <w:t>，包括教科书、教学参考书和习题（教学案例）集。</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3. 申报课程原则上应已纳入本科专业人才培养方案，在课程建设周期内，实际开设不少于1个轮次。</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lastRenderedPageBreak/>
        <w:t>4．申报课程应在教学内容安排和教学过程中体现对学生科学学习方法和思维方法的培养。有实验环节的课程应较重视实践环节的建设，具备一定的实验条件。</w:t>
      </w:r>
    </w:p>
    <w:p w:rsidR="00D85428" w:rsidRPr="001E2A7C" w:rsidRDefault="008500B5">
      <w:pPr>
        <w:widowControl/>
        <w:adjustRightInd w:val="0"/>
        <w:snapToGrid w:val="0"/>
        <w:spacing w:line="360" w:lineRule="auto"/>
        <w:ind w:firstLineChars="200" w:firstLine="602"/>
        <w:rPr>
          <w:rFonts w:ascii="仿宋" w:eastAsia="仿宋" w:hAnsi="仿宋"/>
          <w:color w:val="000000" w:themeColor="text1"/>
          <w:spacing w:val="-8"/>
          <w:kern w:val="0"/>
          <w:sz w:val="30"/>
          <w:szCs w:val="30"/>
        </w:rPr>
      </w:pPr>
      <w:r w:rsidRPr="001E2A7C">
        <w:rPr>
          <w:rFonts w:ascii="仿宋" w:eastAsia="仿宋" w:hAnsi="仿宋" w:cs="宋体" w:hint="eastAsia"/>
          <w:b/>
          <w:snapToGrid w:val="0"/>
          <w:color w:val="000000" w:themeColor="text1"/>
          <w:kern w:val="0"/>
          <w:sz w:val="30"/>
          <w:szCs w:val="30"/>
        </w:rPr>
        <w:t xml:space="preserve">第十条  </w:t>
      </w:r>
      <w:r w:rsidRPr="001E2A7C">
        <w:rPr>
          <w:rFonts w:ascii="仿宋" w:eastAsia="仿宋" w:hAnsi="仿宋" w:hint="eastAsia"/>
          <w:color w:val="000000" w:themeColor="text1"/>
          <w:spacing w:val="-8"/>
          <w:kern w:val="0"/>
          <w:sz w:val="30"/>
          <w:szCs w:val="30"/>
        </w:rPr>
        <w:t>学校主要参考学校总体规划和各二级单位往年课程建设实施情况及成效</w:t>
      </w:r>
      <w:r w:rsidR="001B6C30" w:rsidRPr="001E2A7C">
        <w:rPr>
          <w:rFonts w:ascii="仿宋" w:eastAsia="仿宋" w:hAnsi="仿宋" w:hint="eastAsia"/>
          <w:color w:val="000000" w:themeColor="text1"/>
          <w:spacing w:val="-8"/>
          <w:kern w:val="0"/>
          <w:sz w:val="30"/>
          <w:szCs w:val="30"/>
        </w:rPr>
        <w:t>，确定当年校级课程建设项目的类别与额度。</w:t>
      </w:r>
      <w:r w:rsidR="001B6C30" w:rsidRPr="001E2A7C">
        <w:rPr>
          <w:rFonts w:ascii="仿宋" w:eastAsia="仿宋" w:hAnsi="仿宋"/>
          <w:color w:val="000000" w:themeColor="text1"/>
          <w:spacing w:val="-8"/>
          <w:kern w:val="0"/>
          <w:sz w:val="30"/>
          <w:szCs w:val="30"/>
        </w:rPr>
        <w:t xml:space="preserve"> </w:t>
      </w:r>
    </w:p>
    <w:p w:rsidR="00D85428" w:rsidRPr="001E2A7C" w:rsidRDefault="008500B5">
      <w:pPr>
        <w:widowControl/>
        <w:adjustRightInd w:val="0"/>
        <w:snapToGrid w:val="0"/>
        <w:spacing w:line="360" w:lineRule="auto"/>
        <w:ind w:firstLineChars="200" w:firstLine="602"/>
        <w:rPr>
          <w:rFonts w:ascii="仿宋" w:eastAsia="仿宋" w:hAnsi="仿宋" w:cs="宋体"/>
          <w:snapToGrid w:val="0"/>
          <w:color w:val="000000" w:themeColor="text1"/>
          <w:kern w:val="0"/>
          <w:sz w:val="30"/>
          <w:szCs w:val="30"/>
        </w:rPr>
      </w:pPr>
      <w:r w:rsidRPr="001E2A7C">
        <w:rPr>
          <w:rFonts w:ascii="仿宋" w:eastAsia="仿宋" w:hAnsi="仿宋" w:cs="宋体" w:hint="eastAsia"/>
          <w:b/>
          <w:snapToGrid w:val="0"/>
          <w:color w:val="000000" w:themeColor="text1"/>
          <w:kern w:val="0"/>
          <w:sz w:val="30"/>
          <w:szCs w:val="30"/>
        </w:rPr>
        <w:t xml:space="preserve">第十一条 </w:t>
      </w:r>
      <w:r w:rsidRPr="001E2A7C">
        <w:rPr>
          <w:rFonts w:ascii="仿宋" w:eastAsia="仿宋" w:hAnsi="仿宋" w:cs="宋体" w:hint="eastAsia"/>
          <w:snapToGrid w:val="0"/>
          <w:color w:val="000000" w:themeColor="text1"/>
          <w:kern w:val="0"/>
          <w:sz w:val="30"/>
          <w:szCs w:val="30"/>
        </w:rPr>
        <w:t>申报流程</w:t>
      </w:r>
    </w:p>
    <w:p w:rsidR="00D85428" w:rsidRPr="001E2A7C" w:rsidRDefault="008500B5">
      <w:pPr>
        <w:widowControl/>
        <w:adjustRightInd w:val="0"/>
        <w:snapToGrid w:val="0"/>
        <w:spacing w:line="360" w:lineRule="auto"/>
        <w:ind w:firstLineChars="200" w:firstLine="600"/>
        <w:rPr>
          <w:rFonts w:ascii="仿宋" w:eastAsia="仿宋" w:hAnsi="仿宋" w:cs="宋体"/>
          <w:b/>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1．学校发布课程申报通知，明确该年度课程建设重点及各二级单位建设额度。</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2．申报人根据本办法和申报通知要求，填写《上海外国语大学校级课程建设项目申报表》，提交至所在单位。</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 xml:space="preserve">3. </w:t>
      </w:r>
      <w:r w:rsidR="001B6C30" w:rsidRPr="001E2A7C">
        <w:rPr>
          <w:rFonts w:ascii="仿宋" w:eastAsia="仿宋" w:hAnsi="仿宋" w:cs="宋体" w:hint="eastAsia"/>
          <w:snapToGrid w:val="0"/>
          <w:color w:val="000000" w:themeColor="text1"/>
          <w:kern w:val="0"/>
          <w:sz w:val="30"/>
          <w:szCs w:val="30"/>
        </w:rPr>
        <w:t>各二级单位根据发展规划、年度额度</w:t>
      </w:r>
      <w:r w:rsidRPr="001E2A7C">
        <w:rPr>
          <w:rFonts w:ascii="仿宋" w:eastAsia="仿宋" w:hAnsi="仿宋" w:cs="宋体" w:hint="eastAsia"/>
          <w:snapToGrid w:val="0"/>
          <w:color w:val="000000" w:themeColor="text1"/>
          <w:kern w:val="0"/>
          <w:sz w:val="30"/>
          <w:szCs w:val="30"/>
        </w:rPr>
        <w:t>及课程建设重点等，秉承公平、公正、公开的原则，组织专家对申报项目进行评审和遴选，确定本单位课程建设项目自主立项名单，并将名单公示后，报教务处审核备案。</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4.</w:t>
      </w:r>
      <w:r w:rsidR="00732EF5" w:rsidRPr="001E2A7C">
        <w:rPr>
          <w:rFonts w:ascii="仿宋" w:eastAsia="仿宋" w:hAnsi="仿宋" w:cs="宋体"/>
          <w:snapToGrid w:val="0"/>
          <w:color w:val="000000" w:themeColor="text1"/>
          <w:kern w:val="0"/>
          <w:sz w:val="30"/>
          <w:szCs w:val="30"/>
        </w:rPr>
        <w:t xml:space="preserve"> </w:t>
      </w:r>
      <w:r w:rsidRPr="001E2A7C">
        <w:rPr>
          <w:rFonts w:ascii="仿宋" w:eastAsia="仿宋" w:hAnsi="仿宋" w:cs="宋体" w:hint="eastAsia"/>
          <w:snapToGrid w:val="0"/>
          <w:color w:val="000000" w:themeColor="text1"/>
          <w:kern w:val="0"/>
          <w:sz w:val="30"/>
          <w:szCs w:val="30"/>
        </w:rPr>
        <w:t>学校发文公布该年度校级课程建设项目立项名单。</w:t>
      </w:r>
      <w:r w:rsidR="00732EF5" w:rsidRPr="001E2A7C">
        <w:rPr>
          <w:rFonts w:ascii="仿宋" w:eastAsia="仿宋" w:hAnsi="仿宋" w:cs="宋体" w:hint="eastAsia"/>
          <w:snapToGrid w:val="0"/>
          <w:color w:val="000000" w:themeColor="text1"/>
          <w:kern w:val="0"/>
          <w:sz w:val="30"/>
          <w:szCs w:val="30"/>
        </w:rPr>
        <w:t>对于</w:t>
      </w:r>
      <w:r w:rsidR="00732EF5" w:rsidRPr="001E2A7C">
        <w:rPr>
          <w:rFonts w:ascii="仿宋" w:eastAsia="仿宋" w:hAnsi="仿宋" w:cs="宋体"/>
          <w:snapToGrid w:val="0"/>
          <w:color w:val="000000" w:themeColor="text1"/>
          <w:kern w:val="0"/>
          <w:sz w:val="30"/>
          <w:szCs w:val="30"/>
        </w:rPr>
        <w:t>明显不符合申报要求的项目，学校不予立项。</w:t>
      </w:r>
    </w:p>
    <w:p w:rsidR="00732EF5" w:rsidRPr="001E2A7C" w:rsidRDefault="00732EF5">
      <w:pPr>
        <w:widowControl/>
        <w:adjustRightInd w:val="0"/>
        <w:snapToGrid w:val="0"/>
        <w:spacing w:line="360" w:lineRule="auto"/>
        <w:ind w:firstLineChars="200" w:firstLine="602"/>
        <w:rPr>
          <w:rFonts w:ascii="仿宋" w:eastAsia="仿宋" w:hAnsi="仿宋" w:cs="宋体"/>
          <w:snapToGrid w:val="0"/>
          <w:color w:val="000000" w:themeColor="text1"/>
          <w:kern w:val="0"/>
          <w:sz w:val="30"/>
          <w:szCs w:val="30"/>
        </w:rPr>
      </w:pPr>
      <w:r w:rsidRPr="001E2A7C">
        <w:rPr>
          <w:rFonts w:ascii="仿宋" w:eastAsia="仿宋" w:hAnsi="仿宋" w:cs="宋体" w:hint="eastAsia"/>
          <w:b/>
          <w:snapToGrid w:val="0"/>
          <w:color w:val="000000" w:themeColor="text1"/>
          <w:kern w:val="0"/>
          <w:sz w:val="30"/>
          <w:szCs w:val="30"/>
        </w:rPr>
        <w:t>第十二条</w:t>
      </w:r>
      <w:r w:rsidRPr="001E2A7C">
        <w:rPr>
          <w:rFonts w:ascii="仿宋" w:eastAsia="仿宋" w:hAnsi="仿宋" w:cs="宋体" w:hint="eastAsia"/>
          <w:snapToGrid w:val="0"/>
          <w:color w:val="000000" w:themeColor="text1"/>
          <w:kern w:val="0"/>
          <w:sz w:val="30"/>
          <w:szCs w:val="30"/>
        </w:rPr>
        <w:t xml:space="preserve"> 申报人</w:t>
      </w:r>
      <w:r w:rsidRPr="001E2A7C">
        <w:rPr>
          <w:rFonts w:ascii="仿宋" w:eastAsia="仿宋" w:hAnsi="仿宋" w:cs="宋体"/>
          <w:snapToGrid w:val="0"/>
          <w:color w:val="000000" w:themeColor="text1"/>
          <w:kern w:val="0"/>
          <w:sz w:val="30"/>
          <w:szCs w:val="30"/>
        </w:rPr>
        <w:t>作为各级各类课程建设项目负责人有项目</w:t>
      </w:r>
      <w:r w:rsidRPr="001E2A7C">
        <w:rPr>
          <w:rFonts w:ascii="仿宋" w:eastAsia="仿宋" w:hAnsi="仿宋" w:cs="宋体" w:hint="eastAsia"/>
          <w:snapToGrid w:val="0"/>
          <w:color w:val="000000" w:themeColor="text1"/>
          <w:kern w:val="0"/>
          <w:sz w:val="30"/>
          <w:szCs w:val="30"/>
        </w:rPr>
        <w:t>尚未结题</w:t>
      </w:r>
      <w:r w:rsidRPr="001E2A7C">
        <w:rPr>
          <w:rFonts w:ascii="仿宋" w:eastAsia="仿宋" w:hAnsi="仿宋" w:cs="宋体"/>
          <w:snapToGrid w:val="0"/>
          <w:color w:val="000000" w:themeColor="text1"/>
          <w:kern w:val="0"/>
          <w:sz w:val="30"/>
          <w:szCs w:val="30"/>
        </w:rPr>
        <w:t>的，</w:t>
      </w:r>
      <w:r w:rsidRPr="001E2A7C">
        <w:rPr>
          <w:rFonts w:ascii="仿宋" w:eastAsia="仿宋" w:hAnsi="仿宋" w:cs="宋体" w:hint="eastAsia"/>
          <w:snapToGrid w:val="0"/>
          <w:color w:val="000000" w:themeColor="text1"/>
          <w:kern w:val="0"/>
          <w:sz w:val="30"/>
          <w:szCs w:val="30"/>
        </w:rPr>
        <w:t>不得</w:t>
      </w:r>
      <w:r w:rsidRPr="001E2A7C">
        <w:rPr>
          <w:rFonts w:ascii="仿宋" w:eastAsia="仿宋" w:hAnsi="仿宋" w:cs="宋体"/>
          <w:snapToGrid w:val="0"/>
          <w:color w:val="000000" w:themeColor="text1"/>
          <w:kern w:val="0"/>
          <w:sz w:val="30"/>
          <w:szCs w:val="30"/>
        </w:rPr>
        <w:t>申报；课程建设申报项目与以往课程建设项目内容重复</w:t>
      </w:r>
      <w:r w:rsidRPr="001E2A7C">
        <w:rPr>
          <w:rFonts w:ascii="仿宋" w:eastAsia="仿宋" w:hAnsi="仿宋" w:cs="宋体" w:hint="eastAsia"/>
          <w:snapToGrid w:val="0"/>
          <w:color w:val="000000" w:themeColor="text1"/>
          <w:kern w:val="0"/>
          <w:sz w:val="30"/>
          <w:szCs w:val="30"/>
        </w:rPr>
        <w:t>者</w:t>
      </w:r>
      <w:r w:rsidRPr="001E2A7C">
        <w:rPr>
          <w:rFonts w:ascii="仿宋" w:eastAsia="仿宋" w:hAnsi="仿宋" w:cs="宋体"/>
          <w:snapToGrid w:val="0"/>
          <w:color w:val="000000" w:themeColor="text1"/>
          <w:kern w:val="0"/>
          <w:sz w:val="30"/>
          <w:szCs w:val="30"/>
        </w:rPr>
        <w:t>，除非在课程教学设计上有重大改变，</w:t>
      </w:r>
      <w:r w:rsidRPr="001E2A7C">
        <w:rPr>
          <w:rFonts w:ascii="仿宋" w:eastAsia="仿宋" w:hAnsi="仿宋" w:cs="宋体" w:hint="eastAsia"/>
          <w:snapToGrid w:val="0"/>
          <w:color w:val="000000" w:themeColor="text1"/>
          <w:kern w:val="0"/>
          <w:sz w:val="30"/>
          <w:szCs w:val="30"/>
        </w:rPr>
        <w:t>否则</w:t>
      </w:r>
      <w:r w:rsidRPr="001E2A7C">
        <w:rPr>
          <w:rFonts w:ascii="仿宋" w:eastAsia="仿宋" w:hAnsi="仿宋" w:cs="宋体"/>
          <w:snapToGrid w:val="0"/>
          <w:color w:val="000000" w:themeColor="text1"/>
          <w:kern w:val="0"/>
          <w:sz w:val="30"/>
          <w:szCs w:val="30"/>
        </w:rPr>
        <w:t>不得申报。</w:t>
      </w:r>
    </w:p>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第四章 项目建设与验收</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sz w:val="30"/>
          <w:szCs w:val="30"/>
        </w:rPr>
        <w:t>第十三条</w:t>
      </w:r>
      <w:r w:rsidRPr="001E2A7C">
        <w:rPr>
          <w:rFonts w:ascii="仿宋" w:eastAsia="仿宋" w:hAnsi="仿宋" w:hint="eastAsia"/>
          <w:color w:val="000000" w:themeColor="text1"/>
          <w:spacing w:val="-8"/>
          <w:kern w:val="0"/>
          <w:sz w:val="30"/>
          <w:szCs w:val="30"/>
        </w:rPr>
        <w:t xml:space="preserve">  精品课程建设周期为2年，一般课程建设周期为1年。建设期内，项目应至少完成一次检查。建设期满，项目应完成结题验收。</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lastRenderedPageBreak/>
        <w:t>第十四条</w:t>
      </w:r>
      <w:r w:rsidRPr="001E2A7C">
        <w:rPr>
          <w:rFonts w:ascii="仿宋" w:eastAsia="仿宋" w:hAnsi="仿宋" w:hint="eastAsia"/>
          <w:color w:val="000000" w:themeColor="text1"/>
          <w:spacing w:val="-8"/>
          <w:kern w:val="0"/>
          <w:sz w:val="30"/>
          <w:szCs w:val="30"/>
        </w:rPr>
        <w:t xml:space="preserve">  </w:t>
      </w:r>
      <w:r w:rsidR="00732EF5" w:rsidRPr="001E2A7C">
        <w:rPr>
          <w:rFonts w:ascii="仿宋" w:eastAsia="仿宋" w:hAnsi="仿宋" w:hint="eastAsia"/>
          <w:color w:val="000000" w:themeColor="text1"/>
          <w:spacing w:val="-8"/>
          <w:kern w:val="0"/>
          <w:sz w:val="30"/>
          <w:szCs w:val="30"/>
        </w:rPr>
        <w:t>项目负责人应把握好课程的总体水平和建设进度，按要求完成各</w:t>
      </w:r>
      <w:r w:rsidRPr="001E2A7C">
        <w:rPr>
          <w:rFonts w:ascii="仿宋" w:eastAsia="仿宋" w:hAnsi="仿宋" w:hint="eastAsia"/>
          <w:color w:val="000000" w:themeColor="text1"/>
          <w:spacing w:val="-8"/>
          <w:kern w:val="0"/>
          <w:sz w:val="30"/>
          <w:szCs w:val="30"/>
        </w:rPr>
        <w:t>阶段任务，对课程检查、结项验收负全面责任，并定期向所在二级单位书面报告课程建设进展情况。</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第十五条</w:t>
      </w:r>
      <w:r w:rsidRPr="001E2A7C">
        <w:rPr>
          <w:rFonts w:ascii="仿宋" w:eastAsia="仿宋" w:hAnsi="仿宋" w:hint="eastAsia"/>
          <w:color w:val="000000" w:themeColor="text1"/>
          <w:spacing w:val="-8"/>
          <w:kern w:val="0"/>
          <w:sz w:val="30"/>
          <w:szCs w:val="30"/>
        </w:rPr>
        <w:t xml:space="preserve">  各二级单位应加强对立项课程的过程性管理，为课程建设提供必要的支持和保障，组织课程检查和结项验收，对建设、管理、指导和评估验收工作负全面</w:t>
      </w:r>
      <w:r w:rsidR="00CC0F84">
        <w:rPr>
          <w:rFonts w:ascii="仿宋" w:eastAsia="仿宋" w:hAnsi="仿宋" w:hint="eastAsia"/>
          <w:color w:val="000000" w:themeColor="text1"/>
          <w:spacing w:val="-8"/>
          <w:kern w:val="0"/>
          <w:sz w:val="30"/>
          <w:szCs w:val="30"/>
        </w:rPr>
        <w:t>责任</w:t>
      </w:r>
      <w:bookmarkStart w:id="1" w:name="_GoBack"/>
      <w:bookmarkEnd w:id="1"/>
      <w:r w:rsidRPr="001E2A7C">
        <w:rPr>
          <w:rFonts w:ascii="仿宋" w:eastAsia="仿宋" w:hAnsi="仿宋" w:hint="eastAsia"/>
          <w:color w:val="000000" w:themeColor="text1"/>
          <w:spacing w:val="-8"/>
          <w:kern w:val="0"/>
          <w:sz w:val="30"/>
          <w:szCs w:val="30"/>
        </w:rPr>
        <w:t>，切实提高课程建设质量。课程检查材料须存档并作为结项验收的重要参考依据。</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第十六条</w:t>
      </w:r>
      <w:r w:rsidRPr="001E2A7C">
        <w:rPr>
          <w:rFonts w:ascii="仿宋" w:eastAsia="仿宋" w:hAnsi="仿宋" w:hint="eastAsia"/>
          <w:color w:val="000000" w:themeColor="text1"/>
          <w:spacing w:val="-8"/>
          <w:kern w:val="0"/>
          <w:sz w:val="30"/>
          <w:szCs w:val="30"/>
        </w:rPr>
        <w:t xml:space="preserve">  检查不合格的项目，各二级单位可对项目进行调整或撤销项目。</w:t>
      </w:r>
    </w:p>
    <w:p w:rsidR="00D85428" w:rsidRPr="001E2A7C" w:rsidRDefault="008500B5">
      <w:pPr>
        <w:widowControl/>
        <w:adjustRightInd w:val="0"/>
        <w:snapToGrid w:val="0"/>
        <w:spacing w:line="360" w:lineRule="auto"/>
        <w:ind w:firstLine="525"/>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第十七条</w:t>
      </w:r>
      <w:r w:rsidRPr="001E2A7C">
        <w:rPr>
          <w:rFonts w:ascii="仿宋" w:eastAsia="仿宋" w:hAnsi="仿宋" w:hint="eastAsia"/>
          <w:color w:val="000000" w:themeColor="text1"/>
          <w:spacing w:val="-8"/>
          <w:kern w:val="0"/>
          <w:sz w:val="30"/>
          <w:szCs w:val="30"/>
        </w:rPr>
        <w:t xml:space="preserve">  验收流程</w:t>
      </w:r>
    </w:p>
    <w:p w:rsidR="00D85428" w:rsidRPr="001E2A7C" w:rsidRDefault="008500B5">
      <w:pPr>
        <w:widowControl/>
        <w:adjustRightInd w:val="0"/>
        <w:snapToGrid w:val="0"/>
        <w:spacing w:line="360" w:lineRule="auto"/>
        <w:ind w:firstLineChars="200" w:firstLine="600"/>
        <w:rPr>
          <w:rFonts w:ascii="仿宋" w:eastAsia="仿宋" w:hAnsi="仿宋" w:cs="宋体"/>
          <w:b/>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1．建设期满，学校发布课程结项验收通知。</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2. 项目负责人根据本办法和验收通知要求，参照验收指标，撰写自评报告，提交至所在单位。</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3. 各二级单位参照验收指标，秉承公平、公正、公开的原则，组织专家对项目进行结项验收，并将验收材料和验收意见公示后，报教务处审核备案。</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4. 教务处在各二级单位验收结果基础上，组织精品课程建设项目验收。</w:t>
      </w:r>
    </w:p>
    <w:p w:rsidR="00D85428" w:rsidRPr="001E2A7C" w:rsidRDefault="008500B5">
      <w:pPr>
        <w:widowControl/>
        <w:adjustRightInd w:val="0"/>
        <w:snapToGrid w:val="0"/>
        <w:spacing w:line="360" w:lineRule="auto"/>
        <w:ind w:firstLineChars="200" w:firstLine="600"/>
        <w:rPr>
          <w:rFonts w:ascii="仿宋" w:eastAsia="仿宋" w:hAnsi="仿宋" w:cs="宋体"/>
          <w:snapToGrid w:val="0"/>
          <w:color w:val="000000" w:themeColor="text1"/>
          <w:kern w:val="0"/>
          <w:sz w:val="30"/>
          <w:szCs w:val="30"/>
        </w:rPr>
      </w:pPr>
      <w:r w:rsidRPr="001E2A7C">
        <w:rPr>
          <w:rFonts w:ascii="仿宋" w:eastAsia="仿宋" w:hAnsi="仿宋" w:cs="宋体" w:hint="eastAsia"/>
          <w:snapToGrid w:val="0"/>
          <w:color w:val="000000" w:themeColor="text1"/>
          <w:kern w:val="0"/>
          <w:sz w:val="30"/>
          <w:szCs w:val="30"/>
        </w:rPr>
        <w:t xml:space="preserve">5. </w:t>
      </w:r>
      <w:r w:rsidR="007006E5" w:rsidRPr="001E2A7C">
        <w:rPr>
          <w:rFonts w:ascii="仿宋" w:eastAsia="仿宋" w:hAnsi="仿宋" w:cs="宋体" w:hint="eastAsia"/>
          <w:snapToGrid w:val="0"/>
          <w:color w:val="000000" w:themeColor="text1"/>
          <w:kern w:val="0"/>
          <w:sz w:val="30"/>
          <w:szCs w:val="30"/>
        </w:rPr>
        <w:t>学校发文</w:t>
      </w:r>
      <w:r w:rsidRPr="001E2A7C">
        <w:rPr>
          <w:rFonts w:ascii="仿宋" w:eastAsia="仿宋" w:hAnsi="仿宋" w:cs="宋体" w:hint="eastAsia"/>
          <w:snapToGrid w:val="0"/>
          <w:color w:val="000000" w:themeColor="text1"/>
          <w:kern w:val="0"/>
          <w:sz w:val="30"/>
          <w:szCs w:val="30"/>
        </w:rPr>
        <w:t>公布该年度校级课程建设项目验收结论。</w:t>
      </w:r>
    </w:p>
    <w:p w:rsidR="00D85428" w:rsidRPr="001E2A7C" w:rsidRDefault="008500B5">
      <w:pPr>
        <w:widowControl/>
        <w:adjustRightInd w:val="0"/>
        <w:snapToGrid w:val="0"/>
        <w:spacing w:line="360" w:lineRule="auto"/>
        <w:ind w:firstLine="525"/>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第十八条</w:t>
      </w:r>
      <w:r w:rsidRPr="001E2A7C">
        <w:rPr>
          <w:rFonts w:ascii="仿宋" w:eastAsia="仿宋" w:hAnsi="仿宋" w:hint="eastAsia"/>
          <w:color w:val="000000" w:themeColor="text1"/>
          <w:spacing w:val="-8"/>
          <w:kern w:val="0"/>
          <w:sz w:val="30"/>
          <w:szCs w:val="30"/>
        </w:rPr>
        <w:t xml:space="preserve">  建设和验收标准</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color w:val="000000" w:themeColor="text1"/>
          <w:spacing w:val="-8"/>
          <w:kern w:val="0"/>
          <w:sz w:val="30"/>
          <w:szCs w:val="30"/>
        </w:rPr>
        <w:t>（一）精品课程建设项目建</w:t>
      </w:r>
      <w:r w:rsidR="00D21D09" w:rsidRPr="001E2A7C">
        <w:rPr>
          <w:rFonts w:ascii="仿宋" w:eastAsia="仿宋" w:hAnsi="仿宋" w:hint="eastAsia"/>
          <w:color w:val="000000" w:themeColor="text1"/>
          <w:spacing w:val="-8"/>
          <w:kern w:val="0"/>
          <w:sz w:val="30"/>
          <w:szCs w:val="30"/>
        </w:rPr>
        <w:t>设和验收参照《上海外国语大学精品课程建设标准》（附后），不同类别</w:t>
      </w:r>
      <w:r w:rsidRPr="001E2A7C">
        <w:rPr>
          <w:rFonts w:ascii="仿宋" w:eastAsia="仿宋" w:hAnsi="仿宋" w:hint="eastAsia"/>
          <w:color w:val="000000" w:themeColor="text1"/>
          <w:spacing w:val="-8"/>
          <w:kern w:val="0"/>
          <w:sz w:val="30"/>
          <w:szCs w:val="30"/>
        </w:rPr>
        <w:t>课程指标权重不同。</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color w:val="000000" w:themeColor="text1"/>
          <w:spacing w:val="-8"/>
          <w:kern w:val="0"/>
          <w:sz w:val="30"/>
          <w:szCs w:val="30"/>
        </w:rPr>
        <w:t>（二）一般课程建设项目建设和验收参照《上海外国语大学本科课程建设基本标准》（上外办</w:t>
      </w:r>
      <w:r w:rsidRPr="001E2A7C">
        <w:rPr>
          <w:rFonts w:ascii="仿宋" w:eastAsia="仿宋" w:hAnsi="仿宋"/>
          <w:color w:val="000000" w:themeColor="text1"/>
          <w:spacing w:val="-8"/>
          <w:kern w:val="0"/>
          <w:sz w:val="30"/>
          <w:szCs w:val="30"/>
        </w:rPr>
        <w:t>〔</w:t>
      </w:r>
      <w:r w:rsidRPr="001E2A7C">
        <w:rPr>
          <w:rFonts w:ascii="仿宋" w:eastAsia="仿宋" w:hAnsi="仿宋" w:hint="eastAsia"/>
          <w:color w:val="000000" w:themeColor="text1"/>
          <w:spacing w:val="-8"/>
          <w:kern w:val="0"/>
          <w:sz w:val="30"/>
          <w:szCs w:val="30"/>
        </w:rPr>
        <w:t>2012</w:t>
      </w:r>
      <w:r w:rsidRPr="001E2A7C">
        <w:rPr>
          <w:rFonts w:ascii="仿宋" w:eastAsia="仿宋" w:hAnsi="仿宋"/>
          <w:color w:val="000000" w:themeColor="text1"/>
          <w:spacing w:val="-8"/>
          <w:kern w:val="0"/>
          <w:sz w:val="30"/>
          <w:szCs w:val="30"/>
        </w:rPr>
        <w:t>〕</w:t>
      </w:r>
      <w:r w:rsidRPr="001E2A7C">
        <w:rPr>
          <w:rFonts w:ascii="仿宋" w:eastAsia="仿宋" w:hAnsi="仿宋" w:hint="eastAsia"/>
          <w:color w:val="000000" w:themeColor="text1"/>
          <w:spacing w:val="-8"/>
          <w:kern w:val="0"/>
          <w:sz w:val="30"/>
          <w:szCs w:val="30"/>
        </w:rPr>
        <w:t>25号）。</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color w:val="000000" w:themeColor="text1"/>
          <w:spacing w:val="-8"/>
          <w:kern w:val="0"/>
          <w:sz w:val="30"/>
          <w:szCs w:val="30"/>
        </w:rPr>
        <w:lastRenderedPageBreak/>
        <w:t>（三）其他课程建设项目按照相关文件要求开展建设和验收。</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第十九条</w:t>
      </w:r>
      <w:r w:rsidRPr="001E2A7C">
        <w:rPr>
          <w:rFonts w:ascii="仿宋" w:eastAsia="仿宋" w:hAnsi="仿宋" w:hint="eastAsia"/>
          <w:color w:val="000000" w:themeColor="text1"/>
          <w:spacing w:val="-8"/>
          <w:kern w:val="0"/>
          <w:sz w:val="30"/>
          <w:szCs w:val="30"/>
        </w:rPr>
        <w:t xml:space="preserve"> 课程建设项目验收结论分为 “优秀” “合格” “不合格”三类，以学校最终发文公布为准。通过结题验收（“优秀”、“合格”）的项目，由教务处颁发《上海外国语大学课程建设项目结项证明》。学校授予认定为“优秀”的精品课程建设项目“精品课程”称号。验收合格的项目，学校不授予称号。</w:t>
      </w:r>
    </w:p>
    <w:p w:rsidR="00111C8C" w:rsidRPr="001E2A7C" w:rsidRDefault="00111C8C">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第二十条</w:t>
      </w:r>
      <w:r w:rsidRPr="001E2A7C">
        <w:rPr>
          <w:rFonts w:ascii="仿宋" w:eastAsia="仿宋" w:hAnsi="仿宋" w:hint="eastAsia"/>
          <w:color w:val="000000" w:themeColor="text1"/>
          <w:spacing w:val="-8"/>
          <w:kern w:val="0"/>
          <w:sz w:val="30"/>
          <w:szCs w:val="30"/>
        </w:rPr>
        <w:t xml:space="preserve"> 精品课程授予称号后生效。如课程团队或教学内容发生较大变更，所在</w:t>
      </w:r>
      <w:r w:rsidRPr="001E2A7C">
        <w:rPr>
          <w:rFonts w:ascii="仿宋" w:eastAsia="仿宋" w:hAnsi="仿宋"/>
          <w:color w:val="000000" w:themeColor="text1"/>
          <w:spacing w:val="-8"/>
          <w:kern w:val="0"/>
          <w:sz w:val="30"/>
          <w:szCs w:val="30"/>
        </w:rPr>
        <w:t>二级单位</w:t>
      </w:r>
      <w:r w:rsidRPr="001E2A7C">
        <w:rPr>
          <w:rFonts w:ascii="仿宋" w:eastAsia="仿宋" w:hAnsi="仿宋" w:hint="eastAsia"/>
          <w:color w:val="000000" w:themeColor="text1"/>
          <w:spacing w:val="-8"/>
          <w:kern w:val="0"/>
          <w:sz w:val="30"/>
          <w:szCs w:val="30"/>
        </w:rPr>
        <w:t>需在变更年度重新按照精品课程建设标准对</w:t>
      </w:r>
      <w:r w:rsidRPr="001E2A7C">
        <w:rPr>
          <w:rFonts w:ascii="仿宋" w:eastAsia="仿宋" w:hAnsi="仿宋"/>
          <w:color w:val="000000" w:themeColor="text1"/>
          <w:spacing w:val="-8"/>
          <w:kern w:val="0"/>
          <w:sz w:val="30"/>
          <w:szCs w:val="30"/>
        </w:rPr>
        <w:t>项目进行</w:t>
      </w:r>
      <w:r w:rsidRPr="001E2A7C">
        <w:rPr>
          <w:rFonts w:ascii="仿宋" w:eastAsia="仿宋" w:hAnsi="仿宋" w:hint="eastAsia"/>
          <w:color w:val="000000" w:themeColor="text1"/>
          <w:spacing w:val="-8"/>
          <w:kern w:val="0"/>
          <w:sz w:val="30"/>
          <w:szCs w:val="30"/>
        </w:rPr>
        <w:t>审核，达到标准后方可继续</w:t>
      </w:r>
      <w:r w:rsidR="00EE757D" w:rsidRPr="001E2A7C">
        <w:rPr>
          <w:rFonts w:ascii="仿宋" w:eastAsia="仿宋" w:hAnsi="仿宋" w:hint="eastAsia"/>
          <w:color w:val="000000" w:themeColor="text1"/>
          <w:spacing w:val="-8"/>
          <w:kern w:val="0"/>
          <w:sz w:val="30"/>
          <w:szCs w:val="30"/>
        </w:rPr>
        <w:t>享受</w:t>
      </w:r>
      <w:r w:rsidRPr="001E2A7C">
        <w:rPr>
          <w:rFonts w:ascii="仿宋" w:eastAsia="仿宋" w:hAnsi="仿宋" w:hint="eastAsia"/>
          <w:color w:val="000000" w:themeColor="text1"/>
          <w:spacing w:val="-8"/>
          <w:kern w:val="0"/>
          <w:sz w:val="30"/>
          <w:szCs w:val="30"/>
        </w:rPr>
        <w:t>“精品课程”</w:t>
      </w:r>
      <w:r w:rsidR="00EE757D" w:rsidRPr="001E2A7C">
        <w:rPr>
          <w:rFonts w:ascii="仿宋" w:eastAsia="仿宋" w:hAnsi="仿宋" w:hint="eastAsia"/>
          <w:color w:val="000000" w:themeColor="text1"/>
          <w:spacing w:val="-8"/>
          <w:kern w:val="0"/>
          <w:sz w:val="30"/>
          <w:szCs w:val="30"/>
        </w:rPr>
        <w:t>待遇</w:t>
      </w:r>
      <w:r w:rsidRPr="001E2A7C">
        <w:rPr>
          <w:rFonts w:ascii="仿宋" w:eastAsia="仿宋" w:hAnsi="仿宋" w:hint="eastAsia"/>
          <w:color w:val="000000" w:themeColor="text1"/>
          <w:spacing w:val="-8"/>
          <w:kern w:val="0"/>
          <w:sz w:val="30"/>
          <w:szCs w:val="30"/>
        </w:rPr>
        <w:t>。</w:t>
      </w:r>
    </w:p>
    <w:p w:rsidR="00111C8C" w:rsidRPr="001E2A7C" w:rsidRDefault="008500B5" w:rsidP="00111C8C">
      <w:pPr>
        <w:widowControl/>
        <w:adjustRightInd w:val="0"/>
        <w:snapToGrid w:val="0"/>
        <w:spacing w:line="360" w:lineRule="auto"/>
        <w:ind w:firstLine="525"/>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第二十</w:t>
      </w:r>
      <w:r w:rsidR="00111C8C" w:rsidRPr="001E2A7C">
        <w:rPr>
          <w:rFonts w:ascii="仿宋" w:eastAsia="仿宋" w:hAnsi="仿宋" w:hint="eastAsia"/>
          <w:b/>
          <w:color w:val="000000" w:themeColor="text1"/>
          <w:spacing w:val="-8"/>
          <w:kern w:val="0"/>
          <w:sz w:val="30"/>
          <w:szCs w:val="30"/>
        </w:rPr>
        <w:t>一</w:t>
      </w:r>
      <w:r w:rsidRPr="001E2A7C">
        <w:rPr>
          <w:rFonts w:ascii="仿宋" w:eastAsia="仿宋" w:hAnsi="仿宋" w:hint="eastAsia"/>
          <w:b/>
          <w:color w:val="000000" w:themeColor="text1"/>
          <w:spacing w:val="-8"/>
          <w:kern w:val="0"/>
          <w:sz w:val="30"/>
          <w:szCs w:val="30"/>
        </w:rPr>
        <w:t xml:space="preserve">条 </w:t>
      </w:r>
      <w:r w:rsidRPr="001E2A7C">
        <w:rPr>
          <w:rFonts w:ascii="仿宋" w:eastAsia="仿宋" w:hAnsi="仿宋" w:hint="eastAsia"/>
          <w:color w:val="000000" w:themeColor="text1"/>
          <w:spacing w:val="-8"/>
          <w:kern w:val="0"/>
          <w:sz w:val="30"/>
          <w:szCs w:val="30"/>
        </w:rPr>
        <w:t>精品课程称号有效期内，教学团队应认真做好课程开设工作，积极实施建设工作，参与各项检查，如实提供有关信息，积极申报上海市级、国家级课程建设项目。若在称号有效期内，</w:t>
      </w:r>
      <w:r w:rsidR="00111C8C" w:rsidRPr="001E2A7C">
        <w:rPr>
          <w:rFonts w:ascii="仿宋" w:eastAsia="仿宋" w:hAnsi="仿宋" w:hint="eastAsia"/>
          <w:color w:val="000000" w:themeColor="text1"/>
          <w:spacing w:val="-8"/>
          <w:kern w:val="0"/>
          <w:sz w:val="30"/>
          <w:szCs w:val="30"/>
        </w:rPr>
        <w:t>精品课程课程教学质量明显下降，或团队成员有违反师德师风、学术道德规范、教学事故等行为的，学校可取消其精品课程称号。</w:t>
      </w:r>
    </w:p>
    <w:p w:rsidR="00D85428" w:rsidRPr="001E2A7C" w:rsidRDefault="00EE757D">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第二十二</w:t>
      </w:r>
      <w:r w:rsidR="008500B5" w:rsidRPr="001E2A7C">
        <w:rPr>
          <w:rFonts w:ascii="仿宋" w:eastAsia="仿宋" w:hAnsi="仿宋" w:hint="eastAsia"/>
          <w:b/>
          <w:color w:val="000000" w:themeColor="text1"/>
          <w:spacing w:val="-8"/>
          <w:kern w:val="0"/>
          <w:sz w:val="30"/>
          <w:szCs w:val="30"/>
        </w:rPr>
        <w:t xml:space="preserve">条 </w:t>
      </w:r>
      <w:r w:rsidR="008500B5" w:rsidRPr="001E2A7C">
        <w:rPr>
          <w:rFonts w:ascii="仿宋" w:eastAsia="仿宋" w:hAnsi="仿宋" w:hint="eastAsia"/>
          <w:color w:val="000000" w:themeColor="text1"/>
          <w:spacing w:val="-8"/>
          <w:kern w:val="0"/>
          <w:sz w:val="30"/>
          <w:szCs w:val="30"/>
        </w:rPr>
        <w:t>验收不合格的项目，项目负责人应在限期内提交整改方案，在一年内对项目进行整改。未提交整改方案，或整改后验收结论仍为“不合格”的，终止该项目。</w:t>
      </w:r>
      <w:r w:rsidR="003E01A7" w:rsidRPr="001E2A7C">
        <w:rPr>
          <w:rFonts w:ascii="仿宋" w:eastAsia="仿宋" w:hAnsi="仿宋" w:hint="eastAsia"/>
          <w:sz w:val="30"/>
          <w:szCs w:val="30"/>
        </w:rPr>
        <w:t>该项目负责人自项目终止之日起三年内不得申请</w:t>
      </w:r>
      <w:r w:rsidR="008500B5" w:rsidRPr="001E2A7C">
        <w:rPr>
          <w:rFonts w:ascii="仿宋" w:eastAsia="仿宋" w:hAnsi="仿宋" w:hint="eastAsia"/>
          <w:sz w:val="30"/>
          <w:szCs w:val="30"/>
        </w:rPr>
        <w:t>各类一流本科教学建设项目。对于未能完成建设规划的二级单位，学校将调整其</w:t>
      </w:r>
      <w:r w:rsidR="008500B5" w:rsidRPr="001E2A7C">
        <w:rPr>
          <w:rFonts w:ascii="仿宋" w:eastAsia="仿宋" w:hAnsi="仿宋" w:hint="eastAsia"/>
          <w:color w:val="000000" w:themeColor="text1"/>
          <w:spacing w:val="-8"/>
          <w:kern w:val="0"/>
          <w:sz w:val="30"/>
          <w:szCs w:val="30"/>
        </w:rPr>
        <w:t>下一年度的课程建设经费与额度。</w:t>
      </w:r>
    </w:p>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第五章　项目经费资助</w:t>
      </w:r>
    </w:p>
    <w:p w:rsidR="00D85428" w:rsidRPr="001E2A7C" w:rsidRDefault="00EE757D">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第二十三</w:t>
      </w:r>
      <w:r w:rsidR="008500B5" w:rsidRPr="001E2A7C">
        <w:rPr>
          <w:rFonts w:ascii="仿宋" w:eastAsia="仿宋" w:hAnsi="仿宋" w:hint="eastAsia"/>
          <w:b/>
          <w:color w:val="000000" w:themeColor="text1"/>
          <w:spacing w:val="-8"/>
          <w:kern w:val="0"/>
          <w:sz w:val="30"/>
          <w:szCs w:val="30"/>
        </w:rPr>
        <w:t xml:space="preserve">条 </w:t>
      </w:r>
      <w:r w:rsidR="008500B5" w:rsidRPr="001E2A7C">
        <w:rPr>
          <w:rFonts w:ascii="仿宋" w:eastAsia="仿宋" w:hAnsi="仿宋" w:hint="eastAsia"/>
          <w:b/>
          <w:spacing w:val="-8"/>
          <w:kern w:val="0"/>
          <w:sz w:val="30"/>
          <w:szCs w:val="30"/>
        </w:rPr>
        <w:t xml:space="preserve"> </w:t>
      </w:r>
      <w:r w:rsidR="008500B5" w:rsidRPr="001E2A7C">
        <w:rPr>
          <w:rFonts w:ascii="仿宋" w:eastAsia="仿宋" w:hAnsi="仿宋" w:hint="eastAsia"/>
          <w:spacing w:val="-8"/>
          <w:kern w:val="0"/>
          <w:sz w:val="30"/>
          <w:szCs w:val="30"/>
        </w:rPr>
        <w:t>校级</w:t>
      </w:r>
      <w:r w:rsidR="008500B5" w:rsidRPr="001E2A7C">
        <w:rPr>
          <w:rFonts w:ascii="仿宋" w:eastAsia="仿宋" w:hAnsi="仿宋" w:hint="eastAsia"/>
          <w:color w:val="000000" w:themeColor="text1"/>
          <w:spacing w:val="-8"/>
          <w:kern w:val="0"/>
          <w:sz w:val="30"/>
          <w:szCs w:val="30"/>
        </w:rPr>
        <w:t>课程建设项目经费由学校根据各二级单位年度额度，在确定立项项目后拨发至各二级单位。</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b/>
          <w:color w:val="000000" w:themeColor="text1"/>
          <w:spacing w:val="-8"/>
          <w:kern w:val="0"/>
          <w:sz w:val="30"/>
          <w:szCs w:val="30"/>
        </w:rPr>
        <w:lastRenderedPageBreak/>
        <w:t>第</w:t>
      </w:r>
      <w:r w:rsidR="00EE757D" w:rsidRPr="001E2A7C">
        <w:rPr>
          <w:rFonts w:ascii="仿宋" w:eastAsia="仿宋" w:hAnsi="仿宋" w:hint="eastAsia"/>
          <w:b/>
          <w:color w:val="000000" w:themeColor="text1"/>
          <w:spacing w:val="-8"/>
          <w:kern w:val="0"/>
          <w:sz w:val="30"/>
          <w:szCs w:val="30"/>
        </w:rPr>
        <w:t>二十四</w:t>
      </w:r>
      <w:r w:rsidRPr="001E2A7C">
        <w:rPr>
          <w:rFonts w:ascii="仿宋" w:eastAsia="仿宋" w:hAnsi="仿宋"/>
          <w:b/>
          <w:color w:val="000000" w:themeColor="text1"/>
          <w:spacing w:val="-8"/>
          <w:kern w:val="0"/>
          <w:sz w:val="30"/>
          <w:szCs w:val="30"/>
        </w:rPr>
        <w:t xml:space="preserve">条 </w:t>
      </w:r>
      <w:r w:rsidRPr="001E2A7C">
        <w:rPr>
          <w:rFonts w:ascii="仿宋" w:eastAsia="仿宋" w:hAnsi="仿宋"/>
          <w:color w:val="000000" w:themeColor="text1"/>
          <w:spacing w:val="-8"/>
          <w:kern w:val="0"/>
          <w:sz w:val="30"/>
          <w:szCs w:val="30"/>
        </w:rPr>
        <w:t xml:space="preserve"> </w:t>
      </w:r>
      <w:r w:rsidRPr="001E2A7C">
        <w:rPr>
          <w:rFonts w:ascii="仿宋" w:eastAsia="仿宋" w:hAnsi="仿宋" w:hint="eastAsia"/>
          <w:color w:val="000000" w:themeColor="text1"/>
          <w:spacing w:val="-8"/>
          <w:kern w:val="0"/>
          <w:sz w:val="30"/>
          <w:szCs w:val="30"/>
        </w:rPr>
        <w:t>学校</w:t>
      </w:r>
      <w:r w:rsidR="003E01A7" w:rsidRPr="001E2A7C">
        <w:rPr>
          <w:rFonts w:ascii="仿宋" w:eastAsia="仿宋" w:hAnsi="仿宋" w:hint="eastAsia"/>
          <w:spacing w:val="-8"/>
          <w:kern w:val="0"/>
          <w:sz w:val="30"/>
          <w:szCs w:val="30"/>
        </w:rPr>
        <w:t>结合各二级单位课程申报情况，</w:t>
      </w:r>
      <w:r w:rsidRPr="001E2A7C">
        <w:rPr>
          <w:rFonts w:ascii="仿宋" w:eastAsia="仿宋" w:hAnsi="仿宋" w:hint="eastAsia"/>
          <w:color w:val="000000" w:themeColor="text1"/>
          <w:spacing w:val="-8"/>
          <w:kern w:val="0"/>
          <w:sz w:val="30"/>
          <w:szCs w:val="30"/>
        </w:rPr>
        <w:t>按照每门精品课程建设项目资助30000元，每门</w:t>
      </w:r>
      <w:r w:rsidRPr="001E2A7C">
        <w:rPr>
          <w:rFonts w:ascii="仿宋" w:eastAsia="仿宋" w:hAnsi="仿宋" w:hint="eastAsia"/>
          <w:spacing w:val="-8"/>
          <w:kern w:val="0"/>
          <w:sz w:val="30"/>
          <w:szCs w:val="30"/>
        </w:rPr>
        <w:t>一般课程建设项目资助8000元的标准拨发经费。</w:t>
      </w:r>
      <w:r w:rsidRPr="001E2A7C">
        <w:rPr>
          <w:rFonts w:ascii="仿宋" w:eastAsia="仿宋" w:hAnsi="仿宋" w:hint="eastAsia"/>
          <w:color w:val="000000" w:themeColor="text1"/>
          <w:spacing w:val="-8"/>
          <w:kern w:val="0"/>
          <w:sz w:val="30"/>
          <w:szCs w:val="30"/>
        </w:rPr>
        <w:t>经费分两次拨发，批准立项后拨发5</w:t>
      </w:r>
      <w:r w:rsidRPr="001E2A7C">
        <w:rPr>
          <w:rFonts w:ascii="仿宋" w:eastAsia="仿宋" w:hAnsi="仿宋"/>
          <w:color w:val="000000" w:themeColor="text1"/>
          <w:spacing w:val="-8"/>
          <w:kern w:val="0"/>
          <w:sz w:val="30"/>
          <w:szCs w:val="30"/>
        </w:rPr>
        <w:t>0％，项目验收通过后拨发</w:t>
      </w:r>
      <w:r w:rsidRPr="001E2A7C">
        <w:rPr>
          <w:rFonts w:ascii="仿宋" w:eastAsia="仿宋" w:hAnsi="仿宋" w:hint="eastAsia"/>
          <w:color w:val="000000" w:themeColor="text1"/>
          <w:spacing w:val="-8"/>
          <w:kern w:val="0"/>
          <w:sz w:val="30"/>
          <w:szCs w:val="30"/>
        </w:rPr>
        <w:t>5</w:t>
      </w:r>
      <w:r w:rsidRPr="001E2A7C">
        <w:rPr>
          <w:rFonts w:ascii="仿宋" w:eastAsia="仿宋" w:hAnsi="仿宋"/>
          <w:color w:val="000000" w:themeColor="text1"/>
          <w:spacing w:val="-8"/>
          <w:kern w:val="0"/>
          <w:sz w:val="30"/>
          <w:szCs w:val="30"/>
        </w:rPr>
        <w:t>0％。</w:t>
      </w:r>
      <w:r w:rsidRPr="001E2A7C">
        <w:rPr>
          <w:rFonts w:ascii="仿宋" w:eastAsia="仿宋" w:hAnsi="仿宋" w:hint="eastAsia"/>
          <w:spacing w:val="-8"/>
          <w:kern w:val="0"/>
          <w:sz w:val="30"/>
          <w:szCs w:val="30"/>
        </w:rPr>
        <w:t>各二级单位的课程建设项目经费用于本单位课程建设项目的资助和管理，用于管理的经费部分不超过各二级单位年度</w:t>
      </w:r>
      <w:r w:rsidR="003E01A7" w:rsidRPr="001E2A7C">
        <w:rPr>
          <w:rFonts w:ascii="仿宋" w:eastAsia="仿宋" w:hAnsi="仿宋" w:hint="eastAsia"/>
          <w:spacing w:val="-8"/>
          <w:kern w:val="0"/>
          <w:sz w:val="30"/>
          <w:szCs w:val="30"/>
        </w:rPr>
        <w:t>课程建设</w:t>
      </w:r>
      <w:r w:rsidR="003E01A7" w:rsidRPr="001E2A7C">
        <w:rPr>
          <w:rFonts w:ascii="仿宋" w:eastAsia="仿宋" w:hAnsi="仿宋"/>
          <w:spacing w:val="-8"/>
          <w:kern w:val="0"/>
          <w:sz w:val="30"/>
          <w:szCs w:val="30"/>
        </w:rPr>
        <w:t>项目</w:t>
      </w:r>
      <w:r w:rsidRPr="001E2A7C">
        <w:rPr>
          <w:rFonts w:ascii="仿宋" w:eastAsia="仿宋" w:hAnsi="仿宋" w:hint="eastAsia"/>
          <w:spacing w:val="-8"/>
          <w:kern w:val="0"/>
          <w:sz w:val="30"/>
          <w:szCs w:val="30"/>
        </w:rPr>
        <w:t>经费的10%。</w:t>
      </w:r>
    </w:p>
    <w:p w:rsidR="00D85428" w:rsidRPr="001E2A7C" w:rsidRDefault="00EE757D">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spacing w:val="-8"/>
          <w:kern w:val="0"/>
          <w:sz w:val="30"/>
          <w:szCs w:val="30"/>
        </w:rPr>
        <w:t>第二十五</w:t>
      </w:r>
      <w:r w:rsidR="008500B5" w:rsidRPr="001E2A7C">
        <w:rPr>
          <w:rFonts w:ascii="仿宋" w:eastAsia="仿宋" w:hAnsi="仿宋" w:hint="eastAsia"/>
          <w:b/>
          <w:spacing w:val="-8"/>
          <w:kern w:val="0"/>
          <w:sz w:val="30"/>
          <w:szCs w:val="30"/>
        </w:rPr>
        <w:t>条</w:t>
      </w:r>
      <w:r w:rsidR="008500B5" w:rsidRPr="001E2A7C">
        <w:rPr>
          <w:rFonts w:ascii="仿宋" w:eastAsia="仿宋" w:hAnsi="仿宋" w:hint="eastAsia"/>
          <w:spacing w:val="-8"/>
          <w:kern w:val="0"/>
          <w:sz w:val="30"/>
          <w:szCs w:val="30"/>
        </w:rPr>
        <w:t xml:space="preserve"> 各二级单位应做好经费分配，确保经费落实到各项目。项目负责人应确保经费使用的合法性、合理性和有效性。</w:t>
      </w:r>
    </w:p>
    <w:p w:rsidR="00D85428" w:rsidRPr="001E2A7C" w:rsidRDefault="00EE757D">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b/>
          <w:color w:val="000000" w:themeColor="text1"/>
          <w:spacing w:val="-8"/>
          <w:kern w:val="0"/>
          <w:sz w:val="30"/>
          <w:szCs w:val="30"/>
        </w:rPr>
        <w:t>第二十六</w:t>
      </w:r>
      <w:r w:rsidR="008500B5" w:rsidRPr="001E2A7C">
        <w:rPr>
          <w:rFonts w:ascii="仿宋" w:eastAsia="仿宋" w:hAnsi="仿宋" w:hint="eastAsia"/>
          <w:b/>
          <w:color w:val="000000" w:themeColor="text1"/>
          <w:spacing w:val="-8"/>
          <w:kern w:val="0"/>
          <w:sz w:val="30"/>
          <w:szCs w:val="30"/>
        </w:rPr>
        <w:t>条</w:t>
      </w:r>
      <w:r w:rsidR="008500B5" w:rsidRPr="001E2A7C">
        <w:rPr>
          <w:rFonts w:ascii="仿宋" w:eastAsia="仿宋" w:hAnsi="仿宋" w:hint="eastAsia"/>
          <w:spacing w:val="-8"/>
          <w:kern w:val="0"/>
          <w:sz w:val="30"/>
          <w:szCs w:val="30"/>
        </w:rPr>
        <w:t xml:space="preserve">  </w:t>
      </w:r>
      <w:r w:rsidR="008500B5" w:rsidRPr="001E2A7C">
        <w:rPr>
          <w:rFonts w:ascii="仿宋" w:eastAsia="仿宋" w:hAnsi="仿宋" w:hint="eastAsia"/>
          <w:color w:val="000000" w:themeColor="text1"/>
          <w:spacing w:val="-8"/>
          <w:kern w:val="0"/>
          <w:sz w:val="30"/>
          <w:szCs w:val="30"/>
        </w:rPr>
        <w:t>课程建设项目经费应遵照教育部、上海市教育委员会和学校相关规定执行，专款专用。</w:t>
      </w:r>
      <w:r w:rsidR="008500B5" w:rsidRPr="001E2A7C">
        <w:rPr>
          <w:rFonts w:ascii="仿宋" w:eastAsia="仿宋" w:hAnsi="仿宋" w:hint="eastAsia"/>
          <w:spacing w:val="-8"/>
          <w:kern w:val="0"/>
          <w:sz w:val="30"/>
          <w:szCs w:val="30"/>
        </w:rPr>
        <w:t>课程建设项目经费由项目负责人编制预算，应按项目建设需要和规定的标准如实编制，并按规定说明各项费用的主要用途和测算理由。</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（一）资料费：指在项目建设过程中需要支付的图书（包括外文图书）购置费，资料收集、整理、复印、翻拍、翻译费，专用软件购买费，文献检索费等。</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（二）数据采集费：指在项目建设过程中发生的调查、访谈、数据购买、数据分析及相应技术服务购买、案例分析资料等支出的费用。</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（三）会议费</w:t>
      </w:r>
      <w:r w:rsidRPr="001E2A7C">
        <w:rPr>
          <w:rFonts w:ascii="仿宋" w:eastAsia="仿宋" w:hAnsi="仿宋"/>
          <w:spacing w:val="-8"/>
          <w:kern w:val="0"/>
          <w:sz w:val="30"/>
          <w:szCs w:val="30"/>
        </w:rPr>
        <w:t>/差旅费/国际合作与交流费：指在项目</w:t>
      </w:r>
      <w:r w:rsidRPr="001E2A7C">
        <w:rPr>
          <w:rFonts w:ascii="仿宋" w:eastAsia="仿宋" w:hAnsi="仿宋" w:hint="eastAsia"/>
          <w:spacing w:val="-8"/>
          <w:kern w:val="0"/>
          <w:sz w:val="30"/>
          <w:szCs w:val="30"/>
        </w:rPr>
        <w:t>建设</w:t>
      </w:r>
      <w:r w:rsidRPr="001E2A7C">
        <w:rPr>
          <w:rFonts w:ascii="仿宋" w:eastAsia="仿宋" w:hAnsi="仿宋"/>
          <w:spacing w:val="-8"/>
          <w:kern w:val="0"/>
          <w:sz w:val="30"/>
          <w:szCs w:val="30"/>
        </w:rPr>
        <w:t>过程中开展学术研讨、咨询交流、考察调研等活动而发生的会议、交通、食宿等费用，以及项目</w:t>
      </w:r>
      <w:r w:rsidRPr="001E2A7C">
        <w:rPr>
          <w:rFonts w:ascii="仿宋" w:eastAsia="仿宋" w:hAnsi="仿宋" w:hint="eastAsia"/>
          <w:spacing w:val="-8"/>
          <w:kern w:val="0"/>
          <w:sz w:val="30"/>
          <w:szCs w:val="30"/>
        </w:rPr>
        <w:t>建设</w:t>
      </w:r>
      <w:r w:rsidRPr="001E2A7C">
        <w:rPr>
          <w:rFonts w:ascii="仿宋" w:eastAsia="仿宋" w:hAnsi="仿宋"/>
          <w:spacing w:val="-8"/>
          <w:kern w:val="0"/>
          <w:sz w:val="30"/>
          <w:szCs w:val="30"/>
        </w:rPr>
        <w:t>人员出国及赴港澳台、外国专家来华及港澳台专家来内地开展学术合作与交流的费用。其中，不超过</w:t>
      </w:r>
      <w:r w:rsidRPr="001E2A7C">
        <w:rPr>
          <w:rFonts w:ascii="仿宋" w:eastAsia="仿宋" w:hAnsi="仿宋" w:hint="eastAsia"/>
          <w:spacing w:val="-8"/>
          <w:kern w:val="0"/>
          <w:sz w:val="30"/>
          <w:szCs w:val="30"/>
        </w:rPr>
        <w:t>资助</w:t>
      </w:r>
      <w:r w:rsidRPr="001E2A7C">
        <w:rPr>
          <w:rFonts w:ascii="仿宋" w:eastAsia="仿宋" w:hAnsi="仿宋"/>
          <w:spacing w:val="-8"/>
          <w:kern w:val="0"/>
          <w:sz w:val="30"/>
          <w:szCs w:val="30"/>
        </w:rPr>
        <w:t>费用20%的，不需要提供预算测算依据。</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lastRenderedPageBreak/>
        <w:t>（四）设备费：指在项目建设过程中购置设备和耗材、升级维护现有设备以及租用外单位设备而发生的费用。</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项目负责人应当严格控制设备购置费，应该尽可能通过共享、租赁以及对现有设备进行升级等方式，满足项目建设对设备的需求。</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（五）专家咨询费：指在项目建设过程中支付给临时聘请的咨询专家的费用。</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专家咨询费预算由项目负责人按照项目建设实际需要编制，支出标准按照国家或学校有关规定执行。</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（六）劳务费：指在项目建设过程中支付给参与项目建设的本科生、研究生、博士后、访问学者以及项目聘用的、参与项目建设的人员的劳务费用。劳务费预算应根据项目建设实际需要编制。</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（七）印刷出版费：指在项目建设过程中支付的打印费、印刷费及阶段性成果出版费等。</w:t>
      </w:r>
    </w:p>
    <w:p w:rsidR="00D85428" w:rsidRPr="001E2A7C" w:rsidRDefault="008500B5">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spacing w:val="-8"/>
          <w:kern w:val="0"/>
          <w:sz w:val="30"/>
          <w:szCs w:val="30"/>
        </w:rPr>
        <w:t>（八）其他支出：项目建设过程中发生的除上述费用之外的其他支出，包括按规定应当缴纳的各类税费，应当在编制预算时单独列示，单独核定。</w:t>
      </w:r>
    </w:p>
    <w:p w:rsidR="00D85428" w:rsidRPr="001E2A7C" w:rsidRDefault="00EE757D">
      <w:pPr>
        <w:adjustRightInd w:val="0"/>
        <w:snapToGrid w:val="0"/>
        <w:spacing w:line="360" w:lineRule="auto"/>
        <w:ind w:firstLineChars="200" w:firstLine="570"/>
        <w:rPr>
          <w:rFonts w:ascii="仿宋" w:eastAsia="仿宋" w:hAnsi="仿宋"/>
          <w:sz w:val="30"/>
          <w:szCs w:val="30"/>
        </w:rPr>
      </w:pPr>
      <w:r w:rsidRPr="001E2A7C">
        <w:rPr>
          <w:rFonts w:ascii="仿宋" w:eastAsia="仿宋" w:hAnsi="仿宋" w:hint="eastAsia"/>
          <w:b/>
          <w:spacing w:val="-8"/>
          <w:kern w:val="0"/>
          <w:sz w:val="30"/>
          <w:szCs w:val="30"/>
        </w:rPr>
        <w:t>第二十七</w:t>
      </w:r>
      <w:r w:rsidR="008500B5" w:rsidRPr="001E2A7C">
        <w:rPr>
          <w:rFonts w:ascii="仿宋" w:eastAsia="仿宋" w:hAnsi="仿宋" w:hint="eastAsia"/>
          <w:b/>
          <w:spacing w:val="-8"/>
          <w:kern w:val="0"/>
          <w:sz w:val="30"/>
          <w:szCs w:val="30"/>
        </w:rPr>
        <w:t xml:space="preserve">条 </w:t>
      </w:r>
      <w:r w:rsidR="008500B5" w:rsidRPr="001E2A7C">
        <w:rPr>
          <w:rFonts w:ascii="Calibri" w:eastAsia="仿宋" w:hAnsi="Calibri" w:cs="Calibri"/>
          <w:sz w:val="30"/>
          <w:szCs w:val="30"/>
        </w:rPr>
        <w:t> </w:t>
      </w:r>
      <w:r w:rsidR="008500B5" w:rsidRPr="001E2A7C">
        <w:rPr>
          <w:rFonts w:ascii="仿宋" w:eastAsia="仿宋" w:hAnsi="仿宋" w:hint="eastAsia"/>
          <w:sz w:val="30"/>
          <w:szCs w:val="30"/>
        </w:rPr>
        <w:t>已结项项目须在结项后六个月内完成经费决算。对终止或撤销的项目，经费停止使用，学校对已使用经费进行审查，必要时追回已使用的经费。对无正当理由逾期不办理决算手续的项目，学校按有关规定办理手续。</w:t>
      </w:r>
    </w:p>
    <w:bookmarkEnd w:id="0"/>
    <w:p w:rsidR="00D85428" w:rsidRPr="001E2A7C" w:rsidRDefault="008500B5">
      <w:pPr>
        <w:widowControl/>
        <w:adjustRightInd w:val="0"/>
        <w:snapToGrid w:val="0"/>
        <w:spacing w:beforeLines="100" w:before="312" w:afterLines="100" w:after="312" w:line="360" w:lineRule="auto"/>
        <w:jc w:val="center"/>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第五章</w:t>
      </w:r>
      <w:r w:rsidRPr="001E2A7C">
        <w:rPr>
          <w:rFonts w:ascii="仿宋" w:eastAsia="仿宋" w:hAnsi="仿宋"/>
          <w:b/>
          <w:color w:val="000000" w:themeColor="text1"/>
          <w:spacing w:val="-8"/>
          <w:kern w:val="0"/>
          <w:sz w:val="30"/>
          <w:szCs w:val="30"/>
        </w:rPr>
        <w:t xml:space="preserve">  </w:t>
      </w:r>
      <w:r w:rsidRPr="001E2A7C">
        <w:rPr>
          <w:rFonts w:ascii="仿宋" w:eastAsia="仿宋" w:hAnsi="仿宋" w:hint="eastAsia"/>
          <w:b/>
          <w:color w:val="000000" w:themeColor="text1"/>
          <w:spacing w:val="-8"/>
          <w:kern w:val="0"/>
          <w:sz w:val="30"/>
          <w:szCs w:val="30"/>
        </w:rPr>
        <w:t>附   则</w:t>
      </w:r>
    </w:p>
    <w:p w:rsidR="00D85428" w:rsidRPr="001E2A7C" w:rsidRDefault="00EE757D">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cs="宋体" w:hint="eastAsia"/>
          <w:b/>
          <w:snapToGrid w:val="0"/>
          <w:color w:val="000000" w:themeColor="text1"/>
          <w:kern w:val="0"/>
          <w:sz w:val="30"/>
          <w:szCs w:val="30"/>
        </w:rPr>
        <w:t>第二十八</w:t>
      </w:r>
      <w:r w:rsidR="008500B5" w:rsidRPr="001E2A7C">
        <w:rPr>
          <w:rFonts w:ascii="仿宋" w:eastAsia="仿宋" w:hAnsi="仿宋" w:cs="宋体" w:hint="eastAsia"/>
          <w:b/>
          <w:snapToGrid w:val="0"/>
          <w:color w:val="000000" w:themeColor="text1"/>
          <w:kern w:val="0"/>
          <w:sz w:val="30"/>
          <w:szCs w:val="30"/>
        </w:rPr>
        <w:t xml:space="preserve">条  </w:t>
      </w:r>
      <w:r w:rsidR="008500B5" w:rsidRPr="001E2A7C">
        <w:rPr>
          <w:rFonts w:ascii="仿宋" w:eastAsia="仿宋" w:hAnsi="仿宋" w:hint="eastAsia"/>
          <w:color w:val="000000" w:themeColor="text1"/>
          <w:spacing w:val="-8"/>
          <w:kern w:val="0"/>
          <w:sz w:val="30"/>
          <w:szCs w:val="30"/>
        </w:rPr>
        <w:t>除有特殊规定外，校级课程建设项目按照各二级单位自主立项项目管理，国家级和上海市级课程建设项目按照学校</w:t>
      </w:r>
      <w:r w:rsidR="008500B5" w:rsidRPr="001E2A7C">
        <w:rPr>
          <w:rFonts w:ascii="仿宋" w:eastAsia="仿宋" w:hAnsi="仿宋" w:hint="eastAsia"/>
          <w:color w:val="000000" w:themeColor="text1"/>
          <w:spacing w:val="-8"/>
          <w:kern w:val="0"/>
          <w:sz w:val="30"/>
          <w:szCs w:val="30"/>
        </w:rPr>
        <w:lastRenderedPageBreak/>
        <w:t>遴选立项项目管理。国家级和上海市级课程建设项目按照相关文件要求发布遴选通知，各二级单位推荐遴选立项课程建设项目，报教务处审核。学校按照文件要求予以资助，经费在学校评审立项后拨发。</w:t>
      </w:r>
    </w:p>
    <w:p w:rsidR="00D85428" w:rsidRPr="001E2A7C" w:rsidRDefault="00EE757D">
      <w:pPr>
        <w:widowControl/>
        <w:adjustRightInd w:val="0"/>
        <w:snapToGrid w:val="0"/>
        <w:spacing w:line="360" w:lineRule="auto"/>
        <w:ind w:firstLine="525"/>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第二十九</w:t>
      </w:r>
      <w:r w:rsidR="008500B5" w:rsidRPr="001E2A7C">
        <w:rPr>
          <w:rFonts w:ascii="仿宋" w:eastAsia="仿宋" w:hAnsi="仿宋" w:hint="eastAsia"/>
          <w:b/>
          <w:color w:val="000000" w:themeColor="text1"/>
          <w:spacing w:val="-8"/>
          <w:kern w:val="0"/>
          <w:sz w:val="30"/>
          <w:szCs w:val="30"/>
        </w:rPr>
        <w:t xml:space="preserve">条  </w:t>
      </w:r>
      <w:r w:rsidR="008500B5" w:rsidRPr="001E2A7C">
        <w:rPr>
          <w:rFonts w:ascii="仿宋" w:eastAsia="仿宋" w:hAnsi="仿宋" w:hint="eastAsia"/>
          <w:color w:val="000000" w:themeColor="text1"/>
          <w:spacing w:val="-8"/>
          <w:kern w:val="0"/>
          <w:sz w:val="30"/>
          <w:szCs w:val="30"/>
        </w:rPr>
        <w:t>课程建设项目视为职务作品，课程建设成果内容的非商业性使用权自然授予学校，并对校内师生开放。最终成果应是项目负责人和参与人共同的创造性劳动成果，不得产生知识产权侵权行为。</w:t>
      </w:r>
    </w:p>
    <w:p w:rsidR="00D85428" w:rsidRPr="001E2A7C" w:rsidRDefault="00EE757D">
      <w:pPr>
        <w:widowControl/>
        <w:adjustRightInd w:val="0"/>
        <w:snapToGrid w:val="0"/>
        <w:spacing w:line="360" w:lineRule="auto"/>
        <w:ind w:firstLine="525"/>
        <w:rPr>
          <w:rFonts w:ascii="仿宋" w:eastAsia="仿宋" w:hAnsi="仿宋"/>
          <w:spacing w:val="-8"/>
          <w:kern w:val="0"/>
          <w:sz w:val="30"/>
          <w:szCs w:val="30"/>
        </w:rPr>
      </w:pPr>
      <w:r w:rsidRPr="001E2A7C">
        <w:rPr>
          <w:rFonts w:ascii="仿宋" w:eastAsia="仿宋" w:hAnsi="仿宋" w:hint="eastAsia"/>
          <w:b/>
          <w:color w:val="000000" w:themeColor="text1"/>
          <w:spacing w:val="-8"/>
          <w:kern w:val="0"/>
          <w:sz w:val="30"/>
          <w:szCs w:val="30"/>
        </w:rPr>
        <w:t>第三十</w:t>
      </w:r>
      <w:r w:rsidR="008500B5" w:rsidRPr="001E2A7C">
        <w:rPr>
          <w:rFonts w:ascii="仿宋" w:eastAsia="仿宋" w:hAnsi="仿宋" w:hint="eastAsia"/>
          <w:b/>
          <w:color w:val="000000" w:themeColor="text1"/>
          <w:spacing w:val="-8"/>
          <w:kern w:val="0"/>
          <w:sz w:val="30"/>
          <w:szCs w:val="30"/>
        </w:rPr>
        <w:t>条</w:t>
      </w:r>
      <w:r w:rsidR="008500B5" w:rsidRPr="001E2A7C">
        <w:rPr>
          <w:rFonts w:ascii="仿宋" w:eastAsia="仿宋" w:hAnsi="仿宋" w:hint="eastAsia"/>
          <w:color w:val="000000" w:themeColor="text1"/>
          <w:spacing w:val="-8"/>
          <w:kern w:val="0"/>
          <w:sz w:val="30"/>
          <w:szCs w:val="30"/>
        </w:rPr>
        <w:t xml:space="preserve"> </w:t>
      </w:r>
      <w:r w:rsidR="008500B5" w:rsidRPr="001E2A7C">
        <w:rPr>
          <w:rFonts w:ascii="仿宋" w:eastAsia="仿宋" w:hAnsi="仿宋" w:hint="eastAsia"/>
          <w:color w:val="FF0000"/>
          <w:spacing w:val="-8"/>
          <w:kern w:val="0"/>
          <w:sz w:val="30"/>
          <w:szCs w:val="30"/>
        </w:rPr>
        <w:t xml:space="preserve"> </w:t>
      </w:r>
      <w:r w:rsidR="008500B5" w:rsidRPr="001E2A7C">
        <w:rPr>
          <w:rFonts w:ascii="仿宋" w:eastAsia="仿宋" w:hAnsi="仿宋" w:hint="eastAsia"/>
          <w:spacing w:val="-8"/>
          <w:kern w:val="0"/>
          <w:sz w:val="30"/>
          <w:szCs w:val="30"/>
        </w:rPr>
        <w:t>本办法自颁布之日起实施。原《上海外国语大学课程建设管理条例》《上海外国语大学精品课程建设标准》《上海外国语大学主干课程建设标准》《上海外国语大学教材建设基金管理条例》同时废止。</w:t>
      </w:r>
    </w:p>
    <w:p w:rsidR="00D85428" w:rsidRPr="001E2A7C" w:rsidRDefault="008500B5">
      <w:pPr>
        <w:widowControl/>
        <w:adjustRightInd w:val="0"/>
        <w:snapToGrid w:val="0"/>
        <w:spacing w:line="360" w:lineRule="auto"/>
        <w:ind w:firstLine="525"/>
        <w:rPr>
          <w:rFonts w:ascii="仿宋" w:eastAsia="仿宋" w:hAnsi="仿宋"/>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第三十</w:t>
      </w:r>
      <w:r w:rsidR="00EE757D" w:rsidRPr="001E2A7C">
        <w:rPr>
          <w:rFonts w:ascii="仿宋" w:eastAsia="仿宋" w:hAnsi="仿宋" w:hint="eastAsia"/>
          <w:b/>
          <w:color w:val="000000" w:themeColor="text1"/>
          <w:spacing w:val="-8"/>
          <w:kern w:val="0"/>
          <w:sz w:val="30"/>
          <w:szCs w:val="30"/>
        </w:rPr>
        <w:t>一</w:t>
      </w:r>
      <w:r w:rsidRPr="001E2A7C">
        <w:rPr>
          <w:rFonts w:ascii="仿宋" w:eastAsia="仿宋" w:hAnsi="仿宋" w:hint="eastAsia"/>
          <w:b/>
          <w:color w:val="000000" w:themeColor="text1"/>
          <w:spacing w:val="-8"/>
          <w:kern w:val="0"/>
          <w:sz w:val="30"/>
          <w:szCs w:val="30"/>
        </w:rPr>
        <w:t>条</w:t>
      </w:r>
      <w:r w:rsidR="00E95E67" w:rsidRPr="001E2A7C">
        <w:rPr>
          <w:rFonts w:ascii="仿宋" w:eastAsia="仿宋" w:hAnsi="仿宋" w:hint="eastAsia"/>
          <w:b/>
          <w:color w:val="000000" w:themeColor="text1"/>
          <w:spacing w:val="-8"/>
          <w:kern w:val="0"/>
          <w:sz w:val="30"/>
          <w:szCs w:val="30"/>
        </w:rPr>
        <w:t xml:space="preserve">  </w:t>
      </w:r>
      <w:r w:rsidRPr="001E2A7C">
        <w:rPr>
          <w:rFonts w:ascii="仿宋" w:eastAsia="仿宋" w:hAnsi="仿宋" w:hint="eastAsia"/>
          <w:color w:val="000000" w:themeColor="text1"/>
          <w:spacing w:val="-8"/>
          <w:kern w:val="0"/>
          <w:sz w:val="30"/>
          <w:szCs w:val="30"/>
        </w:rPr>
        <w:t>本办法由教务处负责解释。</w:t>
      </w: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D85428" w:rsidRPr="001E2A7C" w:rsidRDefault="00D85428">
      <w:pPr>
        <w:widowControl/>
        <w:adjustRightInd w:val="0"/>
        <w:snapToGrid w:val="0"/>
        <w:spacing w:line="360" w:lineRule="auto"/>
        <w:ind w:firstLine="525"/>
        <w:rPr>
          <w:rFonts w:ascii="仿宋" w:eastAsia="仿宋" w:hAnsi="仿宋"/>
          <w:color w:val="000000" w:themeColor="text1"/>
          <w:spacing w:val="-8"/>
          <w:kern w:val="0"/>
          <w:sz w:val="30"/>
          <w:szCs w:val="30"/>
        </w:rPr>
      </w:pPr>
    </w:p>
    <w:p w:rsidR="0077684D" w:rsidRPr="001E2A7C" w:rsidRDefault="0077684D" w:rsidP="005A1F65">
      <w:pPr>
        <w:widowControl/>
        <w:adjustRightInd w:val="0"/>
        <w:snapToGrid w:val="0"/>
        <w:spacing w:line="360" w:lineRule="auto"/>
        <w:jc w:val="left"/>
        <w:rPr>
          <w:rFonts w:ascii="仿宋" w:eastAsia="仿宋" w:hAnsi="仿宋"/>
          <w:b/>
          <w:color w:val="000000" w:themeColor="text1"/>
          <w:spacing w:val="-8"/>
          <w:kern w:val="0"/>
          <w:sz w:val="30"/>
          <w:szCs w:val="30"/>
        </w:rPr>
      </w:pPr>
    </w:p>
    <w:p w:rsidR="0077684D" w:rsidRPr="001E2A7C" w:rsidRDefault="0077684D" w:rsidP="0077684D">
      <w:pPr>
        <w:widowControl/>
        <w:adjustRightInd w:val="0"/>
        <w:snapToGrid w:val="0"/>
        <w:spacing w:line="360" w:lineRule="auto"/>
        <w:ind w:firstLine="525"/>
        <w:jc w:val="left"/>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lastRenderedPageBreak/>
        <w:t>附件</w:t>
      </w:r>
      <w:r w:rsidRPr="001E2A7C">
        <w:rPr>
          <w:rFonts w:ascii="仿宋" w:eastAsia="仿宋" w:hAnsi="仿宋"/>
          <w:b/>
          <w:color w:val="000000" w:themeColor="text1"/>
          <w:spacing w:val="-8"/>
          <w:kern w:val="0"/>
          <w:sz w:val="30"/>
          <w:szCs w:val="30"/>
        </w:rPr>
        <w:t>：</w:t>
      </w:r>
    </w:p>
    <w:p w:rsidR="00D85428" w:rsidRPr="001E2A7C" w:rsidRDefault="0077684D" w:rsidP="0077684D">
      <w:pPr>
        <w:widowControl/>
        <w:adjustRightInd w:val="0"/>
        <w:snapToGrid w:val="0"/>
        <w:spacing w:line="360" w:lineRule="auto"/>
        <w:ind w:firstLine="525"/>
        <w:jc w:val="center"/>
        <w:rPr>
          <w:rFonts w:ascii="仿宋" w:eastAsia="仿宋" w:hAnsi="仿宋"/>
          <w:b/>
          <w:color w:val="000000" w:themeColor="text1"/>
          <w:spacing w:val="-8"/>
          <w:kern w:val="0"/>
          <w:sz w:val="30"/>
          <w:szCs w:val="30"/>
        </w:rPr>
      </w:pPr>
      <w:r w:rsidRPr="001E2A7C">
        <w:rPr>
          <w:rFonts w:ascii="仿宋" w:eastAsia="仿宋" w:hAnsi="仿宋" w:hint="eastAsia"/>
          <w:b/>
          <w:color w:val="000000" w:themeColor="text1"/>
          <w:spacing w:val="-8"/>
          <w:kern w:val="0"/>
          <w:sz w:val="30"/>
          <w:szCs w:val="30"/>
        </w:rPr>
        <w:t>上海外国语大学精品课程建设标准</w:t>
      </w:r>
    </w:p>
    <w:tbl>
      <w:tblPr>
        <w:tblW w:w="96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02"/>
        <w:gridCol w:w="1102"/>
        <w:gridCol w:w="2668"/>
        <w:gridCol w:w="755"/>
        <w:gridCol w:w="755"/>
        <w:gridCol w:w="755"/>
        <w:gridCol w:w="755"/>
        <w:gridCol w:w="755"/>
        <w:gridCol w:w="987"/>
      </w:tblGrid>
      <w:tr w:rsidR="00D85428" w:rsidRPr="001E2A7C" w:rsidTr="008500B5">
        <w:trPr>
          <w:tblHeader/>
          <w:jc w:val="center"/>
        </w:trPr>
        <w:tc>
          <w:tcPr>
            <w:tcW w:w="107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b/>
              </w:rPr>
            </w:pPr>
            <w:r w:rsidRPr="001E2A7C">
              <w:rPr>
                <w:rFonts w:ascii="仿宋" w:eastAsia="仿宋" w:hAnsi="仿宋" w:cs="Times New Roman" w:hint="eastAsia"/>
                <w:b/>
              </w:rPr>
              <w:t>一级指标</w:t>
            </w:r>
          </w:p>
        </w:tc>
        <w:tc>
          <w:tcPr>
            <w:tcW w:w="107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b/>
              </w:rPr>
            </w:pPr>
            <w:r w:rsidRPr="001E2A7C">
              <w:rPr>
                <w:rFonts w:ascii="仿宋" w:eastAsia="仿宋" w:hAnsi="仿宋" w:cs="Times New Roman" w:hint="eastAsia"/>
                <w:b/>
              </w:rPr>
              <w:t>二级指标</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b/>
              </w:rPr>
            </w:pPr>
            <w:r w:rsidRPr="001E2A7C">
              <w:rPr>
                <w:rFonts w:ascii="仿宋" w:eastAsia="仿宋" w:hAnsi="仿宋" w:cs="Times New Roman" w:hint="eastAsia"/>
                <w:b/>
              </w:rPr>
              <w:t>三级指标</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rPr>
              <w:t>通识教育核心课程</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rPr>
              <w:t>课程思政专项</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rPr>
              <w:t>在线课程专项</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rPr>
              <w:t>全英语课程专项</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rPr>
              <w:t>创新创业课程专项</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b/>
              </w:rPr>
            </w:pPr>
            <w:r w:rsidRPr="001E2A7C">
              <w:rPr>
                <w:rFonts w:ascii="仿宋" w:eastAsia="仿宋" w:hAnsi="仿宋" w:cs="Times New Roman" w:hint="eastAsia"/>
                <w:b/>
                <w:sz w:val="18"/>
              </w:rPr>
              <w:t>大类平台课程、专业核心课程、专业方向课程</w:t>
            </w:r>
            <w:r w:rsidR="00EE0502" w:rsidRPr="001E2A7C">
              <w:rPr>
                <w:rFonts w:ascii="仿宋" w:eastAsia="仿宋" w:hAnsi="仿宋" w:cs="Times New Roman" w:hint="eastAsia"/>
                <w:b/>
                <w:sz w:val="18"/>
              </w:rPr>
              <w:t>等</w:t>
            </w:r>
          </w:p>
        </w:tc>
      </w:tr>
      <w:tr w:rsidR="00D85428" w:rsidRPr="001E2A7C" w:rsidTr="008500B5">
        <w:trPr>
          <w:jc w:val="center"/>
        </w:trPr>
        <w:tc>
          <w:tcPr>
            <w:tcW w:w="1077" w:type="dxa"/>
            <w:vMerge w:val="restart"/>
            <w:tcBorders>
              <w:top w:val="single" w:sz="8" w:space="0" w:color="auto"/>
              <w:left w:val="single" w:sz="8" w:space="0" w:color="auto"/>
              <w:right w:val="single" w:sz="8" w:space="0" w:color="auto"/>
            </w:tcBorders>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教学管理</w:t>
            </w:r>
          </w:p>
        </w:tc>
        <w:tc>
          <w:tcPr>
            <w:tcW w:w="1077" w:type="dxa"/>
            <w:vMerge w:val="restart"/>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课程设计</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 课程纳入本科专业人才培养方案。在课程建设周期内，实际开设不少于2个轮次。</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2. 充分挖掘和运用各学科蕴含的思想政治教育资源，促进思想政治教育与专业知识教育的紧密结合，使课程教学与思想政治理论课同向同行，形成协同效应。</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3. 确保使用教材合理、合法、合规，在政治立场、价值导向、科学性等方面符合要求。</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4. 设计课外经典阅读书单，明确课外阅读要求，有适当的措施督促并检查学生的课外相关阅读情况。</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val="restart"/>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课堂教学</w:t>
            </w:r>
          </w:p>
        </w:tc>
        <w:tc>
          <w:tcPr>
            <w:tcW w:w="2606"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5. 加强课堂教学管理，认真讲好每一堂课，遵守党和国家大政方针，弘扬社会主义核心价值观，基于课程教学要求和严谨、认真的研究讲授知识、提出观点。</w:t>
            </w:r>
            <w:r w:rsidRPr="001E2A7C">
              <w:rPr>
                <w:rFonts w:ascii="仿宋" w:eastAsia="仿宋" w:hAnsi="仿宋" w:cs="Times New Roman"/>
              </w:rPr>
              <w:t xml:space="preserve"> </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r w:rsidRPr="001E2A7C">
              <w:rPr>
                <w:rFonts w:ascii="仿宋" w:eastAsia="仿宋" w:hAnsi="仿宋" w:cs="Times New Roman"/>
              </w:rPr>
              <w:t>*</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tcMar>
              <w:top w:w="85" w:type="dxa"/>
              <w:left w:w="108" w:type="dxa"/>
              <w:bottom w:w="85" w:type="dxa"/>
              <w:right w:w="108" w:type="dxa"/>
            </w:tcMar>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6. 积极开展教学方法改革，注重理论联系实际，使用案例教学，每个轮次组织不少于3次的小班研讨，加强课堂师生互动、生生互动，促进学生独立思考、勇敢表达。</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r w:rsidRPr="001E2A7C">
              <w:rPr>
                <w:rFonts w:ascii="仿宋" w:eastAsia="仿宋" w:hAnsi="仿宋" w:cs="Times New Roman"/>
              </w:rPr>
              <w:t>*</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7. 优化教学手段，深度融合现代信息技术与课堂教学，建立课程网站，拍摄不少于8个课程教学视频，实现线上和线下，课前、课中</w:t>
            </w:r>
            <w:r w:rsidRPr="001E2A7C">
              <w:rPr>
                <w:rFonts w:ascii="仿宋" w:eastAsia="仿宋" w:hAnsi="仿宋" w:cs="Times New Roman" w:hint="eastAsia"/>
              </w:rPr>
              <w:lastRenderedPageBreak/>
              <w:t>和课后全过程教育。</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lastRenderedPageBreak/>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val="restart"/>
            <w:tcBorders>
              <w:top w:val="single" w:sz="8" w:space="0" w:color="auto"/>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教学质量</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8.</w:t>
            </w:r>
            <w:r w:rsidRPr="001E2A7C">
              <w:rPr>
                <w:rFonts w:ascii="仿宋" w:eastAsia="仿宋" w:hAnsi="仿宋" w:cs="Times New Roman"/>
              </w:rPr>
              <w:t xml:space="preserve"> </w:t>
            </w:r>
            <w:r w:rsidRPr="001E2A7C">
              <w:rPr>
                <w:rFonts w:ascii="仿宋" w:eastAsia="仿宋" w:hAnsi="仿宋" w:cs="Times New Roman" w:hint="eastAsia"/>
              </w:rPr>
              <w:t>开设公开课，有校级层面听课反馈意见，评价优良。</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tcMar>
              <w:top w:w="85" w:type="dxa"/>
              <w:left w:w="108" w:type="dxa"/>
              <w:bottom w:w="85" w:type="dxa"/>
              <w:right w:w="108" w:type="dxa"/>
            </w:tcMar>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9. 建立完整的课程档案，包括教学大纲、课程讲义、学生作业、试卷、成绩单、成绩分析表、教学反馈问卷等。</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10.形成科学合理的多元学业评价体系，以激发学生自主学习为宗旨，考核以学生的能力发展为主，应包括课程教学的全部环节（如读书报告、研讨交流、期中考核等）。</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11.学生评教结果优良，评教排名居所在教学单位前50%。</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val="restart"/>
            <w:tcBorders>
              <w:left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教师团队</w:t>
            </w:r>
          </w:p>
        </w:tc>
        <w:tc>
          <w:tcPr>
            <w:tcW w:w="107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师德师风</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12.有良好的思想品德、职业道德、责任意识和敬业精神，在教学中坚持教育和育人相统一，坚持言传和身教相统一，坚持潜心问道和关注社会相统一，坚持学术自由和学术规范相统一。无学术不端、教学违纪现象。</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tcMar>
              <w:top w:w="85" w:type="dxa"/>
              <w:left w:w="108" w:type="dxa"/>
              <w:bottom w:w="85" w:type="dxa"/>
              <w:right w:w="108" w:type="dxa"/>
            </w:tcMar>
            <w:vAlign w:val="center"/>
          </w:tcPr>
          <w:p w:rsidR="00D85428" w:rsidRPr="001E2A7C" w:rsidRDefault="00D85428">
            <w:pPr>
              <w:adjustRightInd w:val="0"/>
              <w:snapToGrid w:val="0"/>
              <w:jc w:val="center"/>
              <w:rPr>
                <w:rFonts w:ascii="仿宋" w:eastAsia="仿宋" w:hAnsi="仿宋" w:cs="Times New Roman"/>
              </w:rPr>
            </w:pPr>
          </w:p>
        </w:tc>
        <w:tc>
          <w:tcPr>
            <w:tcW w:w="107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能力素养</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13.坚持正确的政治方向，具有过硬的专业知识素养和政治理论素养，课堂讲授过程条理清晰，语言准确生动，与学生有良好的互动，体现出良好的风貌。</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tcMar>
              <w:top w:w="85" w:type="dxa"/>
              <w:left w:w="108" w:type="dxa"/>
              <w:bottom w:w="85" w:type="dxa"/>
              <w:right w:w="108" w:type="dxa"/>
            </w:tcMar>
            <w:vAlign w:val="center"/>
          </w:tcPr>
          <w:p w:rsidR="00D85428" w:rsidRPr="001E2A7C" w:rsidRDefault="00D85428">
            <w:pPr>
              <w:adjustRightInd w:val="0"/>
              <w:snapToGrid w:val="0"/>
              <w:jc w:val="center"/>
              <w:rPr>
                <w:rFonts w:ascii="仿宋" w:eastAsia="仿宋" w:hAnsi="仿宋" w:cs="Times New Roman"/>
              </w:rPr>
            </w:pPr>
          </w:p>
        </w:tc>
        <w:tc>
          <w:tcPr>
            <w:tcW w:w="1077" w:type="dxa"/>
            <w:vMerge w:val="restart"/>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Calibri" w:eastAsia="仿宋" w:hAnsi="Calibri" w:cs="Calibri"/>
              </w:rPr>
              <w:t> </w:t>
            </w:r>
            <w:r w:rsidRPr="001E2A7C">
              <w:rPr>
                <w:rFonts w:ascii="仿宋" w:eastAsia="仿宋" w:hAnsi="仿宋" w:cs="Times New Roman" w:hint="eastAsia"/>
              </w:rPr>
              <w:t>团队构成</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14.项目负责人每一轮次实际授课比例不得低于总课时的20%。</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r w:rsidR="00D85428" w:rsidRPr="001E2A7C" w:rsidTr="008500B5">
        <w:trPr>
          <w:jc w:val="center"/>
        </w:trPr>
        <w:tc>
          <w:tcPr>
            <w:tcW w:w="1077" w:type="dxa"/>
            <w:vMerge/>
            <w:tcBorders>
              <w:left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top w:val="single" w:sz="8" w:space="0" w:color="auto"/>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15.课程教学团队应不少于3人（包括课程负责人），组建一支结构合理、人员稳</w:t>
            </w:r>
            <w:r w:rsidRPr="001E2A7C">
              <w:rPr>
                <w:rFonts w:ascii="仿宋" w:eastAsia="仿宋" w:hAnsi="仿宋" w:cs="Times New Roman" w:hint="eastAsia"/>
              </w:rPr>
              <w:lastRenderedPageBreak/>
              <w:t>定、教学水平高、教学效果好的教师梯队。</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lastRenderedPageBreak/>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val="restart"/>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教学研究</w:t>
            </w:r>
          </w:p>
        </w:tc>
        <w:tc>
          <w:tcPr>
            <w:tcW w:w="107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学习研讨</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16.课程建设期内，主动学习理论前沿和最新研究成果，并将其融入课程教学中，每学期参加相关学习研讨至少1次。</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tcBorders>
              <w:top w:val="single" w:sz="8" w:space="0" w:color="auto"/>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val="restart"/>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教学改革</w:t>
            </w: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17.收集整合课程建设的过程性材料，提炼教学成果，总结优秀教学经验，形成教学简报，每学期提交至少1份简报。</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r>
      <w:tr w:rsidR="00D85428" w:rsidRPr="001E2A7C" w:rsidTr="008500B5">
        <w:trPr>
          <w:jc w:val="center"/>
        </w:trPr>
        <w:tc>
          <w:tcPr>
            <w:tcW w:w="1077" w:type="dxa"/>
            <w:vMerge/>
            <w:tcBorders>
              <w:top w:val="single" w:sz="8" w:space="0" w:color="auto"/>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1077" w:type="dxa"/>
            <w:vMerge/>
            <w:tcBorders>
              <w:top w:val="single" w:sz="8" w:space="0" w:color="auto"/>
              <w:left w:val="single" w:sz="8" w:space="0" w:color="auto"/>
              <w:bottom w:val="single" w:sz="8" w:space="0" w:color="auto"/>
              <w:right w:val="single" w:sz="8" w:space="0" w:color="auto"/>
            </w:tcBorders>
            <w:vAlign w:val="center"/>
          </w:tcPr>
          <w:p w:rsidR="00D85428" w:rsidRPr="001E2A7C" w:rsidRDefault="00D85428">
            <w:pPr>
              <w:adjustRightInd w:val="0"/>
              <w:snapToGrid w:val="0"/>
              <w:jc w:val="center"/>
              <w:rPr>
                <w:rFonts w:ascii="仿宋" w:eastAsia="仿宋" w:hAnsi="仿宋" w:cs="Times New Roman"/>
              </w:rPr>
            </w:pPr>
          </w:p>
        </w:tc>
        <w:tc>
          <w:tcPr>
            <w:tcW w:w="2606"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rPr>
                <w:rFonts w:ascii="仿宋" w:eastAsia="仿宋" w:hAnsi="仿宋" w:cs="Times New Roman"/>
              </w:rPr>
            </w:pPr>
            <w:r w:rsidRPr="001E2A7C">
              <w:rPr>
                <w:rFonts w:ascii="仿宋" w:eastAsia="仿宋" w:hAnsi="仿宋" w:cs="Times New Roman" w:hint="eastAsia"/>
              </w:rPr>
              <w:t>18.积极开展教育教学改革研究，申报各级各类教育教学改革研究项目，撰写一篇相关研究论文。</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737"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B</w:t>
            </w:r>
          </w:p>
        </w:tc>
        <w:tc>
          <w:tcPr>
            <w:tcW w:w="964" w:type="dxa"/>
            <w:tcBorders>
              <w:top w:val="single" w:sz="8" w:space="0" w:color="auto"/>
              <w:left w:val="single" w:sz="8" w:space="0" w:color="auto"/>
              <w:bottom w:val="single" w:sz="8" w:space="0" w:color="auto"/>
              <w:right w:val="single" w:sz="8" w:space="0" w:color="auto"/>
            </w:tcBorders>
            <w:tcMar>
              <w:top w:w="85" w:type="dxa"/>
              <w:left w:w="108" w:type="dxa"/>
              <w:bottom w:w="85" w:type="dxa"/>
              <w:right w:w="108" w:type="dxa"/>
            </w:tcMar>
            <w:vAlign w:val="center"/>
          </w:tcPr>
          <w:p w:rsidR="00D85428" w:rsidRPr="001E2A7C" w:rsidRDefault="008500B5">
            <w:pPr>
              <w:adjustRightInd w:val="0"/>
              <w:snapToGrid w:val="0"/>
              <w:jc w:val="center"/>
              <w:rPr>
                <w:rFonts w:ascii="仿宋" w:eastAsia="仿宋" w:hAnsi="仿宋" w:cs="Times New Roman"/>
              </w:rPr>
            </w:pPr>
            <w:r w:rsidRPr="001E2A7C">
              <w:rPr>
                <w:rFonts w:ascii="仿宋" w:eastAsia="仿宋" w:hAnsi="仿宋" w:cs="Times New Roman" w:hint="eastAsia"/>
              </w:rPr>
              <w:t>A*</w:t>
            </w:r>
          </w:p>
        </w:tc>
      </w:tr>
    </w:tbl>
    <w:p w:rsidR="00D85428" w:rsidRPr="001E2A7C" w:rsidRDefault="00D85428">
      <w:pPr>
        <w:rPr>
          <w:rFonts w:ascii="仿宋" w:eastAsia="仿宋" w:hAnsi="仿宋"/>
          <w:b/>
        </w:rPr>
      </w:pPr>
    </w:p>
    <w:p w:rsidR="00D85428" w:rsidRPr="001E2A7C" w:rsidRDefault="00D85428">
      <w:pPr>
        <w:rPr>
          <w:rFonts w:ascii="仿宋" w:eastAsia="仿宋" w:hAnsi="仿宋"/>
          <w:b/>
        </w:rPr>
      </w:pPr>
    </w:p>
    <w:p w:rsidR="00D85428" w:rsidRPr="001E2A7C" w:rsidRDefault="008500B5">
      <w:pPr>
        <w:rPr>
          <w:rFonts w:ascii="仿宋" w:eastAsia="仿宋" w:hAnsi="仿宋"/>
          <w:b/>
        </w:rPr>
      </w:pPr>
      <w:r w:rsidRPr="001E2A7C">
        <w:rPr>
          <w:rFonts w:ascii="仿宋" w:eastAsia="仿宋" w:hAnsi="仿宋" w:hint="eastAsia"/>
          <w:b/>
        </w:rPr>
        <w:t>指标说明：</w:t>
      </w:r>
    </w:p>
    <w:p w:rsidR="00D85428" w:rsidRPr="001E2A7C" w:rsidRDefault="008500B5">
      <w:pPr>
        <w:numPr>
          <w:ilvl w:val="0"/>
          <w:numId w:val="1"/>
        </w:numPr>
        <w:rPr>
          <w:rFonts w:ascii="仿宋" w:eastAsia="仿宋" w:hAnsi="仿宋"/>
        </w:rPr>
      </w:pPr>
      <w:r w:rsidRPr="001E2A7C">
        <w:rPr>
          <w:rFonts w:ascii="仿宋" w:eastAsia="仿宋" w:hAnsi="仿宋" w:hint="eastAsia"/>
        </w:rPr>
        <w:t>指标类别中A*为核心指标（6项），A为重点指标（6项），B为基本指标（6项）。</w:t>
      </w:r>
    </w:p>
    <w:p w:rsidR="00D85428" w:rsidRPr="001E2A7C" w:rsidRDefault="008500B5">
      <w:pPr>
        <w:numPr>
          <w:ilvl w:val="0"/>
          <w:numId w:val="1"/>
        </w:numPr>
        <w:rPr>
          <w:rFonts w:ascii="仿宋" w:eastAsia="仿宋" w:hAnsi="仿宋"/>
        </w:rPr>
      </w:pPr>
      <w:r w:rsidRPr="001E2A7C">
        <w:rPr>
          <w:rFonts w:ascii="仿宋" w:eastAsia="仿宋" w:hAnsi="仿宋" w:hint="eastAsia"/>
        </w:rPr>
        <w:t>评价时A*指标5项</w:t>
      </w:r>
      <w:r w:rsidR="00AE2BB9" w:rsidRPr="001E2A7C">
        <w:rPr>
          <w:rFonts w:ascii="仿宋" w:eastAsia="仿宋" w:hAnsi="仿宋" w:hint="eastAsia"/>
        </w:rPr>
        <w:t>以上</w:t>
      </w:r>
      <w:r w:rsidR="00AE2BB9" w:rsidRPr="001E2A7C">
        <w:rPr>
          <w:rFonts w:ascii="仿宋" w:eastAsia="仿宋" w:hAnsi="仿宋"/>
        </w:rPr>
        <w:t>（</w:t>
      </w:r>
      <w:r w:rsidR="00AE2BB9" w:rsidRPr="001E2A7C">
        <w:rPr>
          <w:rFonts w:ascii="仿宋" w:eastAsia="仿宋" w:hAnsi="仿宋" w:hint="eastAsia"/>
        </w:rPr>
        <w:t>含5项</w:t>
      </w:r>
      <w:r w:rsidR="00AE2BB9" w:rsidRPr="001E2A7C">
        <w:rPr>
          <w:rFonts w:ascii="仿宋" w:eastAsia="仿宋" w:hAnsi="仿宋"/>
        </w:rPr>
        <w:t>）</w:t>
      </w:r>
      <w:r w:rsidRPr="001E2A7C">
        <w:rPr>
          <w:rFonts w:ascii="仿宋" w:eastAsia="仿宋" w:hAnsi="仿宋" w:hint="eastAsia"/>
        </w:rPr>
        <w:t>、A类指标5项以上</w:t>
      </w:r>
      <w:r w:rsidR="00AE2BB9" w:rsidRPr="001E2A7C">
        <w:rPr>
          <w:rFonts w:ascii="仿宋" w:eastAsia="仿宋" w:hAnsi="仿宋" w:hint="eastAsia"/>
        </w:rPr>
        <w:t>（含5项）</w:t>
      </w:r>
      <w:r w:rsidRPr="001E2A7C">
        <w:rPr>
          <w:rFonts w:ascii="仿宋" w:eastAsia="仿宋" w:hAnsi="仿宋" w:hint="eastAsia"/>
        </w:rPr>
        <w:t>、B类指标5项以上</w:t>
      </w:r>
      <w:r w:rsidR="00AE2BB9" w:rsidRPr="001E2A7C">
        <w:rPr>
          <w:rFonts w:ascii="仿宋" w:eastAsia="仿宋" w:hAnsi="仿宋" w:hint="eastAsia"/>
        </w:rPr>
        <w:t>（含5项）</w:t>
      </w:r>
      <w:r w:rsidRPr="001E2A7C">
        <w:rPr>
          <w:rFonts w:ascii="仿宋" w:eastAsia="仿宋" w:hAnsi="仿宋" w:hint="eastAsia"/>
        </w:rPr>
        <w:t>达标方可认定“优秀”，授予“精品课程”称号； A*指标4项</w:t>
      </w:r>
      <w:r w:rsidR="003C3826" w:rsidRPr="001E2A7C">
        <w:rPr>
          <w:rFonts w:ascii="仿宋" w:eastAsia="仿宋" w:hAnsi="仿宋" w:hint="eastAsia"/>
        </w:rPr>
        <w:t>以上</w:t>
      </w:r>
      <w:r w:rsidR="003C3826" w:rsidRPr="001E2A7C">
        <w:rPr>
          <w:rFonts w:ascii="仿宋" w:eastAsia="仿宋" w:hAnsi="仿宋"/>
        </w:rPr>
        <w:t>（</w:t>
      </w:r>
      <w:r w:rsidR="003C3826" w:rsidRPr="001E2A7C">
        <w:rPr>
          <w:rFonts w:ascii="仿宋" w:eastAsia="仿宋" w:hAnsi="仿宋" w:hint="eastAsia"/>
        </w:rPr>
        <w:t>含4项</w:t>
      </w:r>
      <w:r w:rsidR="003C3826" w:rsidRPr="001E2A7C">
        <w:rPr>
          <w:rFonts w:ascii="仿宋" w:eastAsia="仿宋" w:hAnsi="仿宋"/>
        </w:rPr>
        <w:t>）</w:t>
      </w:r>
      <w:r w:rsidRPr="001E2A7C">
        <w:rPr>
          <w:rFonts w:ascii="仿宋" w:eastAsia="仿宋" w:hAnsi="仿宋" w:hint="eastAsia"/>
        </w:rPr>
        <w:t>、A类指标4项以上</w:t>
      </w:r>
      <w:r w:rsidR="003C3826" w:rsidRPr="001E2A7C">
        <w:rPr>
          <w:rFonts w:ascii="仿宋" w:eastAsia="仿宋" w:hAnsi="仿宋"/>
        </w:rPr>
        <w:t>（</w:t>
      </w:r>
      <w:r w:rsidR="003C3826" w:rsidRPr="001E2A7C">
        <w:rPr>
          <w:rFonts w:ascii="仿宋" w:eastAsia="仿宋" w:hAnsi="仿宋" w:hint="eastAsia"/>
        </w:rPr>
        <w:t>含4项</w:t>
      </w:r>
      <w:r w:rsidR="003C3826" w:rsidRPr="001E2A7C">
        <w:rPr>
          <w:rFonts w:ascii="仿宋" w:eastAsia="仿宋" w:hAnsi="仿宋"/>
        </w:rPr>
        <w:t>）</w:t>
      </w:r>
      <w:r w:rsidRPr="001E2A7C">
        <w:rPr>
          <w:rFonts w:ascii="仿宋" w:eastAsia="仿宋" w:hAnsi="仿宋" w:hint="eastAsia"/>
        </w:rPr>
        <w:t>、B类指标4项以上</w:t>
      </w:r>
      <w:r w:rsidR="003C3826" w:rsidRPr="001E2A7C">
        <w:rPr>
          <w:rFonts w:ascii="仿宋" w:eastAsia="仿宋" w:hAnsi="仿宋"/>
        </w:rPr>
        <w:t>（</w:t>
      </w:r>
      <w:r w:rsidR="003C3826" w:rsidRPr="001E2A7C">
        <w:rPr>
          <w:rFonts w:ascii="仿宋" w:eastAsia="仿宋" w:hAnsi="仿宋" w:hint="eastAsia"/>
        </w:rPr>
        <w:t>含4项</w:t>
      </w:r>
      <w:r w:rsidR="003C3826" w:rsidRPr="001E2A7C">
        <w:rPr>
          <w:rFonts w:ascii="仿宋" w:eastAsia="仿宋" w:hAnsi="仿宋"/>
        </w:rPr>
        <w:t>）</w:t>
      </w:r>
      <w:r w:rsidRPr="001E2A7C">
        <w:rPr>
          <w:rFonts w:ascii="仿宋" w:eastAsia="仿宋" w:hAnsi="仿宋" w:hint="eastAsia"/>
        </w:rPr>
        <w:t>达标方可认定“合格”，但不授予称号。</w:t>
      </w:r>
    </w:p>
    <w:sectPr w:rsidR="00D85428" w:rsidRPr="001E2A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CBE" w:rsidRDefault="00AF1CBE" w:rsidP="00AB1775">
      <w:r>
        <w:separator/>
      </w:r>
    </w:p>
  </w:endnote>
  <w:endnote w:type="continuationSeparator" w:id="0">
    <w:p w:rsidR="00AF1CBE" w:rsidRDefault="00AF1CBE" w:rsidP="00AB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CBE" w:rsidRDefault="00AF1CBE" w:rsidP="00AB1775">
      <w:r>
        <w:separator/>
      </w:r>
    </w:p>
  </w:footnote>
  <w:footnote w:type="continuationSeparator" w:id="0">
    <w:p w:rsidR="00AF1CBE" w:rsidRDefault="00AF1CBE" w:rsidP="00AB1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F61A3"/>
    <w:multiLevelType w:val="singleLevel"/>
    <w:tmpl w:val="3D6F61A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72"/>
    <w:rsid w:val="000034DE"/>
    <w:rsid w:val="000349B6"/>
    <w:rsid w:val="000444F5"/>
    <w:rsid w:val="000A6353"/>
    <w:rsid w:val="00104775"/>
    <w:rsid w:val="0010623A"/>
    <w:rsid w:val="00111C8C"/>
    <w:rsid w:val="001644CC"/>
    <w:rsid w:val="00182587"/>
    <w:rsid w:val="00187BC3"/>
    <w:rsid w:val="001B6C30"/>
    <w:rsid w:val="001D4DAE"/>
    <w:rsid w:val="001D4F7C"/>
    <w:rsid w:val="001E2A7C"/>
    <w:rsid w:val="002259BA"/>
    <w:rsid w:val="002536F7"/>
    <w:rsid w:val="002A20CD"/>
    <w:rsid w:val="002B1BBE"/>
    <w:rsid w:val="00321999"/>
    <w:rsid w:val="003236AE"/>
    <w:rsid w:val="003422AB"/>
    <w:rsid w:val="0039113F"/>
    <w:rsid w:val="003C3826"/>
    <w:rsid w:val="003C7871"/>
    <w:rsid w:val="003E01A7"/>
    <w:rsid w:val="003E7C04"/>
    <w:rsid w:val="0040262B"/>
    <w:rsid w:val="00406C57"/>
    <w:rsid w:val="00412C0D"/>
    <w:rsid w:val="00430530"/>
    <w:rsid w:val="004307BF"/>
    <w:rsid w:val="00446AF8"/>
    <w:rsid w:val="00457810"/>
    <w:rsid w:val="004A7637"/>
    <w:rsid w:val="004B0C53"/>
    <w:rsid w:val="004B141C"/>
    <w:rsid w:val="004F2DF5"/>
    <w:rsid w:val="00510548"/>
    <w:rsid w:val="00522490"/>
    <w:rsid w:val="005469E7"/>
    <w:rsid w:val="00546DE0"/>
    <w:rsid w:val="00550973"/>
    <w:rsid w:val="00572F14"/>
    <w:rsid w:val="0057365C"/>
    <w:rsid w:val="00581825"/>
    <w:rsid w:val="00597A2C"/>
    <w:rsid w:val="005A1F65"/>
    <w:rsid w:val="00625D6B"/>
    <w:rsid w:val="006265C9"/>
    <w:rsid w:val="00632CB1"/>
    <w:rsid w:val="006336E3"/>
    <w:rsid w:val="00647815"/>
    <w:rsid w:val="00692768"/>
    <w:rsid w:val="006A3F69"/>
    <w:rsid w:val="006E53CA"/>
    <w:rsid w:val="007006E5"/>
    <w:rsid w:val="00701806"/>
    <w:rsid w:val="0071573B"/>
    <w:rsid w:val="00732EF5"/>
    <w:rsid w:val="007400F1"/>
    <w:rsid w:val="00775FFA"/>
    <w:rsid w:val="0077684D"/>
    <w:rsid w:val="00794299"/>
    <w:rsid w:val="007D3EF4"/>
    <w:rsid w:val="007E12B6"/>
    <w:rsid w:val="00805063"/>
    <w:rsid w:val="00815E18"/>
    <w:rsid w:val="008500B5"/>
    <w:rsid w:val="00853BF7"/>
    <w:rsid w:val="00877763"/>
    <w:rsid w:val="008855A3"/>
    <w:rsid w:val="00891872"/>
    <w:rsid w:val="00895355"/>
    <w:rsid w:val="008A3A17"/>
    <w:rsid w:val="008A6424"/>
    <w:rsid w:val="008C76C2"/>
    <w:rsid w:val="009028D1"/>
    <w:rsid w:val="0092752C"/>
    <w:rsid w:val="0093014F"/>
    <w:rsid w:val="00994F1A"/>
    <w:rsid w:val="009E253A"/>
    <w:rsid w:val="009F5B61"/>
    <w:rsid w:val="009F781B"/>
    <w:rsid w:val="00A01A18"/>
    <w:rsid w:val="00A0743D"/>
    <w:rsid w:val="00A4577F"/>
    <w:rsid w:val="00A574DD"/>
    <w:rsid w:val="00A62F99"/>
    <w:rsid w:val="00A72A01"/>
    <w:rsid w:val="00A8030B"/>
    <w:rsid w:val="00A95E4B"/>
    <w:rsid w:val="00AA3C0A"/>
    <w:rsid w:val="00AB1775"/>
    <w:rsid w:val="00AC1995"/>
    <w:rsid w:val="00AE2BB9"/>
    <w:rsid w:val="00AF03EB"/>
    <w:rsid w:val="00AF13D5"/>
    <w:rsid w:val="00AF1CBE"/>
    <w:rsid w:val="00B50D9E"/>
    <w:rsid w:val="00B51759"/>
    <w:rsid w:val="00B77D61"/>
    <w:rsid w:val="00B84AC0"/>
    <w:rsid w:val="00BA3692"/>
    <w:rsid w:val="00BF57E8"/>
    <w:rsid w:val="00C01452"/>
    <w:rsid w:val="00C04169"/>
    <w:rsid w:val="00C263CE"/>
    <w:rsid w:val="00C30284"/>
    <w:rsid w:val="00C37B98"/>
    <w:rsid w:val="00C54E96"/>
    <w:rsid w:val="00C83489"/>
    <w:rsid w:val="00C8601B"/>
    <w:rsid w:val="00C873EF"/>
    <w:rsid w:val="00C91C6A"/>
    <w:rsid w:val="00C97A08"/>
    <w:rsid w:val="00CC0F84"/>
    <w:rsid w:val="00CC3ED4"/>
    <w:rsid w:val="00CF429C"/>
    <w:rsid w:val="00D21D09"/>
    <w:rsid w:val="00D255D3"/>
    <w:rsid w:val="00D2788A"/>
    <w:rsid w:val="00D3399C"/>
    <w:rsid w:val="00D425C3"/>
    <w:rsid w:val="00D47CE8"/>
    <w:rsid w:val="00D51CD8"/>
    <w:rsid w:val="00D85428"/>
    <w:rsid w:val="00DB098D"/>
    <w:rsid w:val="00E20F26"/>
    <w:rsid w:val="00E253C2"/>
    <w:rsid w:val="00E27D27"/>
    <w:rsid w:val="00E3597D"/>
    <w:rsid w:val="00E37239"/>
    <w:rsid w:val="00E54A77"/>
    <w:rsid w:val="00E707C4"/>
    <w:rsid w:val="00E95E67"/>
    <w:rsid w:val="00EA1A6E"/>
    <w:rsid w:val="00ED7B58"/>
    <w:rsid w:val="00EE0502"/>
    <w:rsid w:val="00EE4902"/>
    <w:rsid w:val="00EE757D"/>
    <w:rsid w:val="00F07F52"/>
    <w:rsid w:val="00F41141"/>
    <w:rsid w:val="00F44B3E"/>
    <w:rsid w:val="00F60E21"/>
    <w:rsid w:val="00F623E8"/>
    <w:rsid w:val="00F73E0C"/>
    <w:rsid w:val="00FD10EC"/>
    <w:rsid w:val="00FD2467"/>
    <w:rsid w:val="01224550"/>
    <w:rsid w:val="03173810"/>
    <w:rsid w:val="031C3792"/>
    <w:rsid w:val="03342BBB"/>
    <w:rsid w:val="040D426D"/>
    <w:rsid w:val="048329E4"/>
    <w:rsid w:val="05577005"/>
    <w:rsid w:val="07483AA5"/>
    <w:rsid w:val="0B381C79"/>
    <w:rsid w:val="0C2D6B78"/>
    <w:rsid w:val="0E1C10F3"/>
    <w:rsid w:val="0F7D0FCE"/>
    <w:rsid w:val="110F063C"/>
    <w:rsid w:val="119F2123"/>
    <w:rsid w:val="12F01811"/>
    <w:rsid w:val="14BA4C00"/>
    <w:rsid w:val="156A7BAE"/>
    <w:rsid w:val="16D04C62"/>
    <w:rsid w:val="175675A3"/>
    <w:rsid w:val="18AD410B"/>
    <w:rsid w:val="1AD57A30"/>
    <w:rsid w:val="1B403867"/>
    <w:rsid w:val="1C580FBC"/>
    <w:rsid w:val="218A5CA5"/>
    <w:rsid w:val="255439E4"/>
    <w:rsid w:val="26E865F2"/>
    <w:rsid w:val="289D04D0"/>
    <w:rsid w:val="3031105C"/>
    <w:rsid w:val="31277EDC"/>
    <w:rsid w:val="32C51790"/>
    <w:rsid w:val="378B2B5E"/>
    <w:rsid w:val="3D801E7C"/>
    <w:rsid w:val="3E254E66"/>
    <w:rsid w:val="45747980"/>
    <w:rsid w:val="462A5BF9"/>
    <w:rsid w:val="47376AF2"/>
    <w:rsid w:val="4AA20F74"/>
    <w:rsid w:val="4B1C5175"/>
    <w:rsid w:val="4B2F168F"/>
    <w:rsid w:val="4BBA2207"/>
    <w:rsid w:val="4CE622FE"/>
    <w:rsid w:val="4DBC75EF"/>
    <w:rsid w:val="4DD01E93"/>
    <w:rsid w:val="50C1346C"/>
    <w:rsid w:val="53385DEE"/>
    <w:rsid w:val="55C951EF"/>
    <w:rsid w:val="56226AAA"/>
    <w:rsid w:val="568B5383"/>
    <w:rsid w:val="5A145B41"/>
    <w:rsid w:val="5C9359BA"/>
    <w:rsid w:val="5FF869A8"/>
    <w:rsid w:val="639E21B7"/>
    <w:rsid w:val="661C7CF0"/>
    <w:rsid w:val="66AE4D91"/>
    <w:rsid w:val="67711387"/>
    <w:rsid w:val="69301195"/>
    <w:rsid w:val="6B1E3132"/>
    <w:rsid w:val="6C6513AA"/>
    <w:rsid w:val="6D410C92"/>
    <w:rsid w:val="75EF5F29"/>
    <w:rsid w:val="7722149C"/>
    <w:rsid w:val="78E6671E"/>
    <w:rsid w:val="79237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0E9A1A-E935-4F70-8EAC-E683A9BB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c">
    <w:name w:val="Emphasis"/>
    <w:basedOn w:val="a0"/>
    <w:uiPriority w:val="20"/>
    <w:qFormat/>
    <w:rPr>
      <w:color w:val="CC0000"/>
    </w:rPr>
  </w:style>
  <w:style w:type="character" w:styleId="ad">
    <w:name w:val="Hyperlink"/>
    <w:basedOn w:val="a0"/>
    <w:uiPriority w:val="99"/>
    <w:semiHidden/>
    <w:unhideWhenUsed/>
    <w:qFormat/>
    <w:rPr>
      <w:color w:val="0000FF"/>
      <w:u w:val="single"/>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head">
    <w:name w:val="head"/>
    <w:basedOn w:val="a0"/>
    <w:qFormat/>
  </w:style>
  <w:style w:type="character" w:customStyle="1" w:styleId="normalbold">
    <w:name w:val="normalbold"/>
    <w:basedOn w:val="a0"/>
    <w:qFormat/>
  </w:style>
  <w:style w:type="character" w:customStyle="1" w:styleId="1">
    <w:name w:val="正文1"/>
    <w:basedOn w:val="a0"/>
    <w:qFormat/>
  </w:style>
  <w:style w:type="character" w:customStyle="1" w:styleId="apple-converted-space">
    <w:name w:val="apple-converted-space"/>
    <w:basedOn w:val="a0"/>
    <w:qFormat/>
  </w:style>
  <w:style w:type="paragraph" w:customStyle="1" w:styleId="15">
    <w:name w:val="15"/>
    <w:basedOn w:val="a"/>
    <w:qFormat/>
    <w:pPr>
      <w:widowControl/>
      <w:spacing w:before="100" w:beforeAutospacing="1" w:after="100" w:afterAutospacing="1"/>
      <w:jc w:val="left"/>
    </w:pPr>
    <w:rPr>
      <w:rFonts w:ascii="宋体" w:eastAsia="宋体" w:hAnsi="宋体" w:cs="宋体"/>
      <w:kern w:val="0"/>
      <w:sz w:val="24"/>
      <w:szCs w:val="24"/>
    </w:rPr>
  </w:style>
  <w:style w:type="paragraph" w:styleId="ae">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 w:type="character" w:customStyle="1" w:styleId="selected">
    <w:name w:val="selected"/>
    <w:basedOn w:val="a0"/>
    <w:qFormat/>
    <w:rPr>
      <w:b/>
      <w:color w:val="454545"/>
      <w:u w:val="none"/>
    </w:rPr>
  </w:style>
  <w:style w:type="character" w:customStyle="1" w:styleId="selected1">
    <w:name w:val="selected1"/>
    <w:basedOn w:val="a0"/>
    <w:qFormat/>
    <w:rPr>
      <w:b/>
      <w:color w:val="45454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949</Words>
  <Characters>5413</Characters>
  <Application>Microsoft Office Word</Application>
  <DocSecurity>0</DocSecurity>
  <Lines>45</Lines>
  <Paragraphs>12</Paragraphs>
  <ScaleCrop>false</ScaleCrop>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王会花</dc:creator>
  <cp:lastModifiedBy>Equation Linear</cp:lastModifiedBy>
  <cp:revision>162</cp:revision>
  <cp:lastPrinted>2018-10-09T05:13:00Z</cp:lastPrinted>
  <dcterms:created xsi:type="dcterms:W3CDTF">2018-09-27T21:02:00Z</dcterms:created>
  <dcterms:modified xsi:type="dcterms:W3CDTF">2018-10-16T03:20:00Z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